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513F44"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5A7B93" w:rsidP="005D0621">
            <w:pPr>
              <w:rPr>
                <w:b/>
              </w:rPr>
            </w:pPr>
            <w:r>
              <w:rPr>
                <w:rStyle w:val="Firstpagetablebold"/>
              </w:rPr>
              <w:t>12</w:t>
            </w:r>
            <w:r w:rsidR="00BE15EF">
              <w:rPr>
                <w:rStyle w:val="Firstpagetablebold"/>
              </w:rPr>
              <w:t xml:space="preserve"> June </w:t>
            </w:r>
            <w:r w:rsidR="00A00A89">
              <w:rPr>
                <w:rStyle w:val="Firstpagetablebold"/>
              </w:rPr>
              <w:t>2019</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4A6D2F">
            <w:pPr>
              <w:rPr>
                <w:rStyle w:val="Firstpagetablebold"/>
              </w:rPr>
            </w:pPr>
            <w:r w:rsidRPr="001356F1">
              <w:rPr>
                <w:rStyle w:val="Firstpagetablebold"/>
              </w:rPr>
              <w:t xml:space="preserve">Executive Director </w:t>
            </w:r>
            <w:r w:rsidR="006B612C">
              <w:rPr>
                <w:rStyle w:val="Firstpagetablebold"/>
              </w:rPr>
              <w:t>Development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A00A89" w:rsidP="004A6D2F">
            <w:pPr>
              <w:rPr>
                <w:rStyle w:val="Firstpagetablebold"/>
              </w:rPr>
            </w:pPr>
            <w:r>
              <w:rPr>
                <w:rStyle w:val="Firstpagetablebold"/>
              </w:rPr>
              <w:t>Seacourt Park &amp; Ride Extension – Appointment of Main Contractor and Final Project Approval</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F2588D">
        <w:tc>
          <w:tcPr>
            <w:tcW w:w="8845" w:type="dxa"/>
            <w:gridSpan w:val="3"/>
            <w:tcBorders>
              <w:bottom w:val="single" w:sz="8" w:space="0" w:color="000000"/>
            </w:tcBorders>
            <w:shd w:val="clear" w:color="auto" w:fill="DDD9C3" w:themeFill="background2" w:themeFillShade="E6"/>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A00A89" w:rsidP="000F4751">
            <w:r>
              <w:t xml:space="preserve">To seek approval to appoint a contractor for the main contract works and </w:t>
            </w:r>
            <w:r w:rsidR="00B85F79">
              <w:t>for final scheme</w:t>
            </w:r>
            <w:r>
              <w:t xml:space="preserve"> approval.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D5547E" w:rsidP="005F7F7E">
            <w:r w:rsidRPr="001356F1">
              <w:t>Yes</w:t>
            </w:r>
          </w:p>
        </w:tc>
      </w:tr>
      <w:tr w:rsidR="00D5547E" w:rsidTr="0080749A">
        <w:tc>
          <w:tcPr>
            <w:tcW w:w="2438" w:type="dxa"/>
            <w:gridSpan w:val="2"/>
            <w:tcBorders>
              <w:top w:val="nil"/>
              <w:left w:val="single" w:sz="8" w:space="0" w:color="000000"/>
              <w:bottom w:val="nil"/>
              <w:right w:val="nil"/>
            </w:tcBorders>
            <w:hideMark/>
          </w:tcPr>
          <w:p w:rsidR="00D5547E" w:rsidRDefault="00BB50C0">
            <w:pPr>
              <w:rPr>
                <w:rStyle w:val="Firstpagetablebold"/>
              </w:rPr>
            </w:pPr>
            <w:r>
              <w:rPr>
                <w:rStyle w:val="Firstpagetablebold"/>
              </w:rPr>
              <w:t xml:space="preserve">Cabinet </w:t>
            </w:r>
            <w:r w:rsidR="00D5547E">
              <w:rPr>
                <w:rStyle w:val="Firstpagetablebold"/>
              </w:rPr>
              <w:t>Member:</w:t>
            </w:r>
          </w:p>
        </w:tc>
        <w:tc>
          <w:tcPr>
            <w:tcW w:w="6407" w:type="dxa"/>
            <w:tcBorders>
              <w:top w:val="nil"/>
              <w:left w:val="nil"/>
              <w:bottom w:val="nil"/>
              <w:right w:val="single" w:sz="8" w:space="0" w:color="000000"/>
            </w:tcBorders>
            <w:hideMark/>
          </w:tcPr>
          <w:p w:rsidR="00D5547E" w:rsidRPr="001356F1" w:rsidRDefault="00A00A89" w:rsidP="005F7F7E">
            <w:r>
              <w:t>Planning &amp; Transport</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Default="00A00A89" w:rsidP="005F7F7E">
            <w:r>
              <w:t>Vibrant &amp; Sustainable Economy</w:t>
            </w:r>
          </w:p>
          <w:p w:rsidR="007175FF" w:rsidRPr="001356F1" w:rsidRDefault="007175FF" w:rsidP="005F7F7E">
            <w:r>
              <w:t>Clean and Green Oxford</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Default="00DE2C91" w:rsidP="005F7F7E">
            <w:r>
              <w:t>Local Transport Plan 4</w:t>
            </w:r>
          </w:p>
          <w:p w:rsidR="007175FF" w:rsidRDefault="007175FF" w:rsidP="005F7F7E">
            <w:r>
              <w:t>Oxford Local Plan 2036 (Submission Draft)</w:t>
            </w:r>
          </w:p>
          <w:p w:rsidR="007175FF" w:rsidRPr="001356F1" w:rsidRDefault="007175FF" w:rsidP="005F7F7E">
            <w:r>
              <w:t>Oxford City Council Corporate Plan, 2016-2020</w:t>
            </w:r>
          </w:p>
        </w:tc>
      </w:tr>
      <w:tr w:rsidR="005F7F7E" w:rsidRPr="00975B07" w:rsidTr="00432C4B">
        <w:trPr>
          <w:trHeight w:val="413"/>
        </w:trPr>
        <w:tc>
          <w:tcPr>
            <w:tcW w:w="8845" w:type="dxa"/>
            <w:gridSpan w:val="3"/>
            <w:tcBorders>
              <w:bottom w:val="single" w:sz="8" w:space="0" w:color="000000"/>
            </w:tcBorders>
            <w:shd w:val="clear" w:color="auto" w:fill="DDD9C3" w:themeFill="background2" w:themeFillShade="E6"/>
          </w:tcPr>
          <w:p w:rsidR="005F7F7E" w:rsidRPr="00975B07" w:rsidRDefault="005F7F7E" w:rsidP="00513F44">
            <w:r>
              <w:rPr>
                <w:rStyle w:val="Firstpagetablebold"/>
              </w:rPr>
              <w:t>Recommendations:</w:t>
            </w:r>
            <w:r w:rsidR="00BB50C0">
              <w:rPr>
                <w:rStyle w:val="Firstpagetablebold"/>
              </w:rPr>
              <w:t xml:space="preserve"> </w:t>
            </w:r>
            <w:r w:rsidRPr="00513F44">
              <w:rPr>
                <w:rStyle w:val="Firstpagetablebold"/>
                <w:b w:val="0"/>
              </w:rPr>
              <w:t xml:space="preserve">That the </w:t>
            </w:r>
            <w:r w:rsidR="00513F44" w:rsidRPr="00513F44">
              <w:rPr>
                <w:rStyle w:val="Firstpagetablebold"/>
                <w:b w:val="0"/>
              </w:rPr>
              <w:t xml:space="preserve">Cabinet </w:t>
            </w:r>
            <w:r w:rsidRPr="00513F44">
              <w:rPr>
                <w:rStyle w:val="Firstpagetablebold"/>
                <w:b w:val="0"/>
              </w:rPr>
              <w:t>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9B7850" w:rsidP="00432C4B">
            <w:pPr>
              <w:jc w:val="both"/>
            </w:pPr>
            <w:r>
              <w:rPr>
                <w:rStyle w:val="Firstpagetablebold"/>
              </w:rPr>
              <w:t xml:space="preserve">Approve </w:t>
            </w:r>
            <w:r w:rsidRPr="00513F44">
              <w:rPr>
                <w:rStyle w:val="Firstpagetablebold"/>
                <w:b w:val="0"/>
              </w:rPr>
              <w:t>the appointment of ODSL as the main contractor to construct the park and ride extension, subject to final scheme approval</w:t>
            </w:r>
            <w:r w:rsidR="00D35312" w:rsidRPr="00513F44">
              <w:rPr>
                <w:rStyle w:val="Firstpagetablebold"/>
                <w:b w:val="0"/>
              </w:rPr>
              <w:t>;</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rsidR="00DC684E" w:rsidRPr="005908E0" w:rsidRDefault="009B7850" w:rsidP="00432C4B">
            <w:pPr>
              <w:jc w:val="both"/>
              <w:rPr>
                <w:b/>
              </w:rPr>
            </w:pPr>
            <w:r>
              <w:rPr>
                <w:rStyle w:val="Firstpagetablebold"/>
              </w:rPr>
              <w:t xml:space="preserve">Grant </w:t>
            </w:r>
            <w:r w:rsidRPr="00513F44">
              <w:rPr>
                <w:rStyle w:val="Firstpagetablebold"/>
                <w:b w:val="0"/>
              </w:rPr>
              <w:t>final scheme approval to enable the scheme, as amended, to be delivered with</w:t>
            </w:r>
            <w:r w:rsidR="00D35312" w:rsidRPr="00513F44">
              <w:rPr>
                <w:rStyle w:val="Firstpagetablebold"/>
                <w:b w:val="0"/>
              </w:rPr>
              <w:t>in</w:t>
            </w:r>
            <w:r w:rsidRPr="00513F44">
              <w:rPr>
                <w:rStyle w:val="Firstpagetablebold"/>
                <w:b w:val="0"/>
              </w:rPr>
              <w:t xml:space="preserve"> the</w:t>
            </w:r>
            <w:r w:rsidR="00D35312" w:rsidRPr="00513F44">
              <w:rPr>
                <w:rStyle w:val="Firstpagetablebold"/>
                <w:b w:val="0"/>
              </w:rPr>
              <w:t xml:space="preserve"> budget </w:t>
            </w:r>
            <w:r w:rsidR="0081493E" w:rsidRPr="00513F44">
              <w:rPr>
                <w:rStyle w:val="Firstpagetablebold"/>
                <w:b w:val="0"/>
              </w:rPr>
              <w:t xml:space="preserve">of £5,156,122 approved by </w:t>
            </w:r>
            <w:r w:rsidR="00D35312" w:rsidRPr="00513F44">
              <w:rPr>
                <w:rStyle w:val="Firstpagetablebold"/>
                <w:b w:val="0"/>
              </w:rPr>
              <w:t>Council in February 2019;</w:t>
            </w:r>
            <w:r w:rsidR="00513F44">
              <w:rPr>
                <w:rStyle w:val="Firstpagetablebold"/>
                <w:b w:val="0"/>
              </w:rPr>
              <w:t xml:space="preserve"> and </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046D2B" w:rsidP="004A6D2F">
            <w:r w:rsidRPr="00975B07">
              <w:t>3.</w:t>
            </w:r>
          </w:p>
        </w:tc>
        <w:tc>
          <w:tcPr>
            <w:tcW w:w="8419" w:type="dxa"/>
            <w:gridSpan w:val="2"/>
            <w:tcBorders>
              <w:top w:val="nil"/>
              <w:left w:val="nil"/>
              <w:bottom w:val="nil"/>
              <w:right w:val="single" w:sz="8" w:space="0" w:color="000000"/>
            </w:tcBorders>
            <w:shd w:val="clear" w:color="auto" w:fill="auto"/>
          </w:tcPr>
          <w:p w:rsidR="005908E0" w:rsidRPr="005908E0" w:rsidRDefault="00D35312" w:rsidP="000438B3">
            <w:pPr>
              <w:jc w:val="both"/>
              <w:rPr>
                <w:b/>
              </w:rPr>
            </w:pPr>
            <w:r>
              <w:rPr>
                <w:rStyle w:val="Firstpagetablebold"/>
              </w:rPr>
              <w:t xml:space="preserve">Delegate </w:t>
            </w:r>
            <w:r w:rsidRPr="00513F44">
              <w:rPr>
                <w:rStyle w:val="Firstpagetablebold"/>
                <w:b w:val="0"/>
              </w:rPr>
              <w:t>to the Director of De</w:t>
            </w:r>
            <w:r w:rsidR="0081493E" w:rsidRPr="00513F44">
              <w:rPr>
                <w:rStyle w:val="Firstpagetablebold"/>
                <w:b w:val="0"/>
              </w:rPr>
              <w:t>velopment, acting in consultation</w:t>
            </w:r>
            <w:r w:rsidRPr="00513F44">
              <w:rPr>
                <w:rStyle w:val="Firstpagetablebold"/>
                <w:b w:val="0"/>
              </w:rPr>
              <w:t xml:space="preserve"> with the Heads of L</w:t>
            </w:r>
            <w:r w:rsidR="00290C88">
              <w:rPr>
                <w:rStyle w:val="Firstpagetablebold"/>
                <w:b w:val="0"/>
              </w:rPr>
              <w:t>aw &amp;</w:t>
            </w:r>
            <w:r w:rsidR="000438B3" w:rsidRPr="00513F44">
              <w:rPr>
                <w:rStyle w:val="Firstpagetablebold"/>
                <w:b w:val="0"/>
              </w:rPr>
              <w:t xml:space="preserve"> Governance</w:t>
            </w:r>
            <w:r w:rsidRPr="00513F44">
              <w:rPr>
                <w:rStyle w:val="Firstpagetablebold"/>
                <w:b w:val="0"/>
              </w:rPr>
              <w:t xml:space="preserve"> and Fi</w:t>
            </w:r>
            <w:r w:rsidR="0081493E" w:rsidRPr="00513F44">
              <w:rPr>
                <w:rStyle w:val="Firstpagetablebold"/>
                <w:b w:val="0"/>
              </w:rPr>
              <w:t xml:space="preserve">nance, and </w:t>
            </w:r>
            <w:r w:rsidRPr="00513F44">
              <w:rPr>
                <w:rStyle w:val="Firstpagetablebold"/>
                <w:b w:val="0"/>
              </w:rPr>
              <w:t xml:space="preserve">the </w:t>
            </w:r>
            <w:r w:rsidR="003606FA">
              <w:rPr>
                <w:rStyle w:val="Firstpagetablebold"/>
                <w:b w:val="0"/>
              </w:rPr>
              <w:t>Portfolio h</w:t>
            </w:r>
            <w:r w:rsidR="000438B3" w:rsidRPr="00513F44">
              <w:rPr>
                <w:rStyle w:val="Firstpagetablebold"/>
                <w:b w:val="0"/>
              </w:rPr>
              <w:t>old</w:t>
            </w:r>
            <w:r w:rsidRPr="00513F44">
              <w:rPr>
                <w:rStyle w:val="Firstpagetablebold"/>
                <w:b w:val="0"/>
              </w:rPr>
              <w:t>er for Planning &amp; Transport,</w:t>
            </w:r>
            <w:r w:rsidR="005908E0" w:rsidRPr="00513F44">
              <w:rPr>
                <w:rStyle w:val="Firstpagetablebold"/>
                <w:b w:val="0"/>
              </w:rPr>
              <w:t xml:space="preserve"> </w:t>
            </w:r>
            <w:r w:rsidRPr="00513F44">
              <w:rPr>
                <w:rStyle w:val="Firstpagetablebold"/>
                <w:b w:val="0"/>
              </w:rPr>
              <w:t>the authority to enter into all necessary and appropriate contracts to implement the delivery of</w:t>
            </w:r>
            <w:r w:rsidR="008A080B" w:rsidRPr="00513F44">
              <w:rPr>
                <w:rStyle w:val="Firstpagetablebold"/>
                <w:b w:val="0"/>
              </w:rPr>
              <w:t xml:space="preserve"> the proposed extension to the Park and R</w:t>
            </w:r>
            <w:r w:rsidR="005908E0" w:rsidRPr="00513F44">
              <w:rPr>
                <w:rStyle w:val="Firstpagetablebold"/>
                <w:b w:val="0"/>
              </w:rPr>
              <w:t>ide scheme at Seacourt</w:t>
            </w:r>
            <w:r w:rsidR="0081493E" w:rsidRPr="00513F44">
              <w:rPr>
                <w:rStyle w:val="Firstpagetablebold"/>
                <w:b w:val="0"/>
              </w:rPr>
              <w:t>.</w:t>
            </w:r>
          </w:p>
        </w:tc>
      </w:tr>
      <w:tr w:rsidR="00232F5B" w:rsidRPr="00975B07" w:rsidTr="00A46E98">
        <w:trPr>
          <w:trHeight w:val="283"/>
        </w:trPr>
        <w:tc>
          <w:tcPr>
            <w:tcW w:w="426" w:type="dxa"/>
            <w:tcBorders>
              <w:top w:val="nil"/>
              <w:left w:val="single" w:sz="8" w:space="0" w:color="000000"/>
              <w:bottom w:val="nil"/>
              <w:right w:val="nil"/>
            </w:tcBorders>
          </w:tcPr>
          <w:p w:rsidR="0030208D" w:rsidRPr="00975B07" w:rsidRDefault="0030208D" w:rsidP="004A6D2F"/>
        </w:tc>
        <w:tc>
          <w:tcPr>
            <w:tcW w:w="841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Default="00CE544A" w:rsidP="004A6D2F"/>
    <w:p w:rsidR="00B85F79" w:rsidRDefault="00B85F79" w:rsidP="004A6D2F"/>
    <w:p w:rsidR="00296221" w:rsidRPr="009E51FC" w:rsidRDefault="00296221"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F2588D">
        <w:tc>
          <w:tcPr>
            <w:tcW w:w="8844"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966D42" w:rsidRPr="00975B07" w:rsidRDefault="00966D42" w:rsidP="00263EA3">
            <w:pPr>
              <w:jc w:val="center"/>
            </w:pPr>
            <w:r w:rsidRPr="00745BF0">
              <w:rPr>
                <w:rStyle w:val="Firstpagetablebold"/>
              </w:rPr>
              <w:lastRenderedPageBreak/>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B85F79" w:rsidRDefault="00B85F79" w:rsidP="004A6D2F"/>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B85F79" w:rsidRDefault="00B85F79" w:rsidP="004A6D2F"/>
          <w:p w:rsidR="00ED5860" w:rsidRPr="001356F1" w:rsidRDefault="00895E9E" w:rsidP="004A6D2F">
            <w:r>
              <w:t xml:space="preserve">General Arrangement </w:t>
            </w:r>
            <w:r w:rsidR="00B85F79">
              <w:t>Plan – Public</w:t>
            </w:r>
            <w:r w:rsidR="00050124">
              <w:t xml:space="preserve"> Agenda</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B85F79" w:rsidP="004A6D2F">
            <w:r>
              <w:t xml:space="preserve">Price submitted by ODSL – </w:t>
            </w:r>
            <w:r w:rsidR="003071B7">
              <w:t>Exempt Information</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tc>
        <w:tc>
          <w:tcPr>
            <w:tcW w:w="6406" w:type="dxa"/>
            <w:tcBorders>
              <w:top w:val="nil"/>
              <w:left w:val="nil"/>
              <w:bottom w:val="nil"/>
              <w:right w:val="single" w:sz="8" w:space="0" w:color="000000"/>
            </w:tcBorders>
          </w:tcPr>
          <w:p w:rsidR="0030208D" w:rsidRPr="001356F1" w:rsidRDefault="0030208D" w:rsidP="004A6D2F"/>
        </w:tc>
      </w:tr>
      <w:tr w:rsidR="0030208D" w:rsidRPr="00975B07" w:rsidTr="00432C4B">
        <w:trPr>
          <w:trHeight w:val="74"/>
        </w:trPr>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2E60AB" w:rsidRPr="002E60AB" w:rsidRDefault="00F66DCA" w:rsidP="002E60AB">
      <w:pPr>
        <w:pStyle w:val="Heading1"/>
      </w:pPr>
      <w:r w:rsidRPr="001356F1">
        <w:t>Introduction and b</w:t>
      </w:r>
      <w:r w:rsidR="00151888" w:rsidRPr="001356F1">
        <w:t>ackground</w:t>
      </w:r>
      <w:r w:rsidR="00404032" w:rsidRPr="001356F1">
        <w:t xml:space="preserve"> </w:t>
      </w:r>
    </w:p>
    <w:p w:rsidR="00E87F7A" w:rsidRDefault="00B07493" w:rsidP="00EA6B47">
      <w:pPr>
        <w:pStyle w:val="ListParagraph"/>
        <w:jc w:val="both"/>
      </w:pPr>
      <w:r>
        <w:t>P</w:t>
      </w:r>
      <w:r w:rsidR="006338CA">
        <w:t>lanning permission for the proposed extension to the existing park and ride scheme on land to the north of Botley Road, and to the east of the existing park and ride scheme was granted</w:t>
      </w:r>
      <w:r>
        <w:t xml:space="preserve">, subject to </w:t>
      </w:r>
      <w:r w:rsidR="006338CA">
        <w:t>conditions,</w:t>
      </w:r>
      <w:r w:rsidR="00B85F79">
        <w:t xml:space="preserve"> on 12th</w:t>
      </w:r>
      <w:r w:rsidR="00DE2C91">
        <w:t xml:space="preserve"> March 2018</w:t>
      </w:r>
      <w:r w:rsidR="006338CA">
        <w:t>.</w:t>
      </w:r>
    </w:p>
    <w:p w:rsidR="006338CA" w:rsidRDefault="006338CA" w:rsidP="005570B5">
      <w:pPr>
        <w:pStyle w:val="ListParagraph"/>
      </w:pPr>
      <w:r>
        <w:t>In summary the consented scheme provided for:</w:t>
      </w:r>
    </w:p>
    <w:p w:rsidR="006338CA" w:rsidRDefault="00805455" w:rsidP="00B07493">
      <w:pPr>
        <w:pStyle w:val="ListParagraph"/>
        <w:numPr>
          <w:ilvl w:val="0"/>
          <w:numId w:val="34"/>
        </w:numPr>
      </w:pPr>
      <w:r>
        <w:t xml:space="preserve">685 </w:t>
      </w:r>
      <w:r w:rsidR="00040B94">
        <w:t>A</w:t>
      </w:r>
      <w:r w:rsidR="006338CA">
        <w:t>dditional car-parking spaces</w:t>
      </w:r>
      <w:r w:rsidR="00DE2C91">
        <w:t>;</w:t>
      </w:r>
    </w:p>
    <w:p w:rsidR="006338CA" w:rsidRDefault="006338CA" w:rsidP="00B07493">
      <w:pPr>
        <w:pStyle w:val="ListParagraph"/>
        <w:numPr>
          <w:ilvl w:val="0"/>
          <w:numId w:val="34"/>
        </w:numPr>
      </w:pPr>
      <w:r>
        <w:t>Provision of a landscaped buffer to the north, south and east of the site with associated landscaping</w:t>
      </w:r>
      <w:r w:rsidR="00DE2C91">
        <w:t>;</w:t>
      </w:r>
    </w:p>
    <w:p w:rsidR="006338CA" w:rsidRDefault="008B6594" w:rsidP="00B07493">
      <w:pPr>
        <w:pStyle w:val="ListParagraph"/>
        <w:numPr>
          <w:ilvl w:val="0"/>
          <w:numId w:val="34"/>
        </w:numPr>
      </w:pPr>
      <w:r>
        <w:t>Provision of 10 disabled car-parking spaces, located close to the proposed pickup and drop-off area</w:t>
      </w:r>
      <w:r w:rsidR="00DE2C91">
        <w:t>;</w:t>
      </w:r>
      <w:r>
        <w:t xml:space="preserve"> </w:t>
      </w:r>
    </w:p>
    <w:p w:rsidR="008B6594" w:rsidRDefault="008B6594" w:rsidP="00B07493">
      <w:pPr>
        <w:pStyle w:val="ListParagraph"/>
        <w:numPr>
          <w:ilvl w:val="0"/>
          <w:numId w:val="34"/>
        </w:numPr>
      </w:pPr>
      <w:r>
        <w:t>A single storey building of 150sqm to provide customer waiting and toilets</w:t>
      </w:r>
      <w:r w:rsidR="00DE2C91">
        <w:t>;</w:t>
      </w:r>
    </w:p>
    <w:p w:rsidR="008B6594" w:rsidRDefault="008B6594" w:rsidP="00B07493">
      <w:pPr>
        <w:pStyle w:val="ListParagraph"/>
        <w:numPr>
          <w:ilvl w:val="0"/>
          <w:numId w:val="34"/>
        </w:numPr>
      </w:pPr>
      <w:r>
        <w:t>30 cycle spaces across the site with the majority being located close to the waiting area located to the southern part of the site</w:t>
      </w:r>
      <w:r w:rsidR="00DE2C91">
        <w:t>;</w:t>
      </w:r>
    </w:p>
    <w:p w:rsidR="008B6594" w:rsidRDefault="008B6594" w:rsidP="00B07493">
      <w:pPr>
        <w:pStyle w:val="ListParagraph"/>
        <w:numPr>
          <w:ilvl w:val="0"/>
          <w:numId w:val="34"/>
        </w:numPr>
      </w:pPr>
      <w:r>
        <w:t>New pedestrian and cycle access route from the eastern part of the site onto Botley Road</w:t>
      </w:r>
      <w:r w:rsidR="00DE2C91">
        <w:t>;</w:t>
      </w:r>
    </w:p>
    <w:p w:rsidR="008B6594" w:rsidRDefault="008B6594" w:rsidP="00B07493">
      <w:pPr>
        <w:pStyle w:val="ListParagraph"/>
        <w:numPr>
          <w:ilvl w:val="0"/>
          <w:numId w:val="34"/>
        </w:numPr>
      </w:pPr>
      <w:r>
        <w:t>A new turning circle, bus pick-up/drop off servicing adjacent to the proposed customer building</w:t>
      </w:r>
      <w:r w:rsidR="00DE2C91">
        <w:t>;</w:t>
      </w:r>
    </w:p>
    <w:p w:rsidR="008B6594" w:rsidRDefault="008B6594" w:rsidP="00B07493">
      <w:pPr>
        <w:pStyle w:val="ListParagraph"/>
        <w:numPr>
          <w:ilvl w:val="0"/>
          <w:numId w:val="34"/>
        </w:numPr>
      </w:pPr>
      <w:r>
        <w:t>Provision of high</w:t>
      </w:r>
      <w:r w:rsidR="00040B94">
        <w:t xml:space="preserve"> level lighting, CCTV and stand-</w:t>
      </w:r>
      <w:r>
        <w:t>alone ticket machines</w:t>
      </w:r>
      <w:r w:rsidR="00DE2C91">
        <w:t>;</w:t>
      </w:r>
    </w:p>
    <w:p w:rsidR="008B6594" w:rsidRDefault="008B6594" w:rsidP="00B07493">
      <w:pPr>
        <w:pStyle w:val="ListParagraph"/>
        <w:numPr>
          <w:ilvl w:val="0"/>
          <w:numId w:val="34"/>
        </w:numPr>
      </w:pPr>
      <w:r>
        <w:t>Attenuation pond for flood compensation</w:t>
      </w:r>
      <w:r w:rsidR="00DE2C91">
        <w:t>;</w:t>
      </w:r>
    </w:p>
    <w:p w:rsidR="008B6594" w:rsidRDefault="00DE2C91" w:rsidP="00B07493">
      <w:pPr>
        <w:pStyle w:val="ListParagraph"/>
        <w:numPr>
          <w:ilvl w:val="0"/>
          <w:numId w:val="34"/>
        </w:numPr>
      </w:pPr>
      <w:r>
        <w:t>Inte</w:t>
      </w:r>
      <w:r w:rsidR="008B6594">
        <w:t>gral landscaping and tree planting within parking rows</w:t>
      </w:r>
      <w:r>
        <w:t>.</w:t>
      </w:r>
    </w:p>
    <w:p w:rsidR="008B6594" w:rsidRDefault="008B6594" w:rsidP="006338CA">
      <w:pPr>
        <w:pStyle w:val="ListParagraph"/>
        <w:numPr>
          <w:ilvl w:val="0"/>
          <w:numId w:val="0"/>
        </w:numPr>
        <w:ind w:left="426"/>
      </w:pPr>
    </w:p>
    <w:p w:rsidR="008B6594" w:rsidRDefault="008B6594" w:rsidP="002E60AB">
      <w:pPr>
        <w:pStyle w:val="ListParagraph"/>
        <w:jc w:val="both"/>
      </w:pPr>
      <w:r>
        <w:t>The scheme to be delivered is substantially the same as that which achieved the grant of permission</w:t>
      </w:r>
      <w:r w:rsidR="002F32EC">
        <w:t>,</w:t>
      </w:r>
      <w:r>
        <w:t xml:space="preserve"> but it has been necessary to incorporate some minor changes, which are e</w:t>
      </w:r>
      <w:r w:rsidR="003606FA">
        <w:t>ither on land that comprises</w:t>
      </w:r>
      <w:r>
        <w:t xml:space="preserve"> highway or otherwise comprise permitted development</w:t>
      </w:r>
      <w:r w:rsidR="00040B94">
        <w:t>.</w:t>
      </w:r>
      <w:r w:rsidR="00B85F79">
        <w:t xml:space="preserve"> See </w:t>
      </w:r>
      <w:r w:rsidR="00895E9E">
        <w:t xml:space="preserve">General Arrangement </w:t>
      </w:r>
      <w:r w:rsidR="00B85F79">
        <w:t>Plan at Appendix 1.</w:t>
      </w:r>
    </w:p>
    <w:p w:rsidR="00040B94" w:rsidRDefault="00040B94" w:rsidP="006338CA">
      <w:pPr>
        <w:pStyle w:val="ListParagraph"/>
        <w:numPr>
          <w:ilvl w:val="0"/>
          <w:numId w:val="0"/>
        </w:numPr>
        <w:ind w:left="426"/>
      </w:pPr>
    </w:p>
    <w:p w:rsidR="00040B94" w:rsidRDefault="00040B94" w:rsidP="00DE2C91">
      <w:pPr>
        <w:pStyle w:val="ListParagraph"/>
      </w:pPr>
      <w:r>
        <w:t xml:space="preserve">These minor changes </w:t>
      </w:r>
      <w:r w:rsidR="003071B7">
        <w:t xml:space="preserve">to the layout </w:t>
      </w:r>
      <w:r>
        <w:t>comprise the following:</w:t>
      </w:r>
    </w:p>
    <w:p w:rsidR="001F7B4F" w:rsidRDefault="001F7B4F" w:rsidP="00DE2C91">
      <w:pPr>
        <w:pStyle w:val="ListParagraph"/>
        <w:numPr>
          <w:ilvl w:val="0"/>
          <w:numId w:val="36"/>
        </w:numPr>
        <w:jc w:val="both"/>
      </w:pPr>
      <w:r>
        <w:t xml:space="preserve">Retention of the </w:t>
      </w:r>
      <w:r w:rsidR="0008244D">
        <w:t xml:space="preserve">turning area on the existing park and ride scheme. This will enable improved access from land to the west of the existing car-park for contractors employed by the Environment Agency to deliver </w:t>
      </w:r>
      <w:r w:rsidR="00B07493">
        <w:t xml:space="preserve">the </w:t>
      </w:r>
      <w:r w:rsidR="0008244D">
        <w:t>Oxford Flood</w:t>
      </w:r>
      <w:r w:rsidR="00B07493">
        <w:t xml:space="preserve"> Alleviation Scheme (OFAS)</w:t>
      </w:r>
      <w:r>
        <w:t>.</w:t>
      </w:r>
    </w:p>
    <w:p w:rsidR="001F7B4F" w:rsidRDefault="00764D0B" w:rsidP="00DE2C91">
      <w:pPr>
        <w:pStyle w:val="ListParagraph"/>
        <w:numPr>
          <w:ilvl w:val="0"/>
          <w:numId w:val="36"/>
        </w:numPr>
        <w:jc w:val="both"/>
      </w:pPr>
      <w:r>
        <w:lastRenderedPageBreak/>
        <w:t>Re-positioning</w:t>
      </w:r>
      <w:r w:rsidR="00B07493">
        <w:t xml:space="preserve"> a </w:t>
      </w:r>
      <w:r w:rsidR="00290C88">
        <w:t xml:space="preserve">short </w:t>
      </w:r>
      <w:r w:rsidR="00B07493">
        <w:t xml:space="preserve">section of </w:t>
      </w:r>
      <w:r w:rsidR="00290C88">
        <w:t xml:space="preserve">access </w:t>
      </w:r>
      <w:r w:rsidR="00B07493">
        <w:t xml:space="preserve">carriageway </w:t>
      </w:r>
      <w:r w:rsidR="00290C88">
        <w:t xml:space="preserve">to land </w:t>
      </w:r>
      <w:r w:rsidR="003606FA">
        <w:t xml:space="preserve">just </w:t>
      </w:r>
      <w:r w:rsidR="00B07493">
        <w:t>n</w:t>
      </w:r>
      <w:r w:rsidR="00290C88">
        <w:t>orth of that</w:t>
      </w:r>
      <w:r w:rsidR="001F7B4F">
        <w:t xml:space="preserve"> occupied by the Garage. This is because further work has shown that the incorporation of a section of </w:t>
      </w:r>
      <w:r>
        <w:t xml:space="preserve">existing </w:t>
      </w:r>
      <w:r w:rsidR="001F7B4F">
        <w:t>road currently owned and used by the Garage for access and deliveries, as part of the internal circulation carriageway as originally envisaged, will not work in practice.</w:t>
      </w:r>
    </w:p>
    <w:p w:rsidR="001F7B4F" w:rsidRDefault="001F7B4F" w:rsidP="00EA6B47">
      <w:pPr>
        <w:pStyle w:val="ListParagraph"/>
        <w:numPr>
          <w:ilvl w:val="0"/>
          <w:numId w:val="36"/>
        </w:numPr>
        <w:jc w:val="both"/>
      </w:pPr>
      <w:r>
        <w:t>The main vehicular access junction has had to be slightly modified in order to better relate to the County Council’s</w:t>
      </w:r>
      <w:r w:rsidR="00805455">
        <w:t xml:space="preserve"> planned Botley Road Corridor</w:t>
      </w:r>
      <w:r>
        <w:t xml:space="preserve"> Scheme</w:t>
      </w:r>
      <w:r w:rsidR="00DE2C91">
        <w:t xml:space="preserve"> and </w:t>
      </w:r>
      <w:r w:rsidR="0081493E">
        <w:t xml:space="preserve">to </w:t>
      </w:r>
      <w:r w:rsidR="00DE2C91">
        <w:t xml:space="preserve">meet </w:t>
      </w:r>
      <w:r w:rsidR="0081493E">
        <w:t xml:space="preserve">the </w:t>
      </w:r>
      <w:r w:rsidR="00DE2C91">
        <w:t xml:space="preserve">S278 </w:t>
      </w:r>
      <w:r w:rsidR="0081493E">
        <w:t xml:space="preserve">Highways Act 1980 </w:t>
      </w:r>
      <w:r w:rsidR="00DE2C91">
        <w:t>requirements.</w:t>
      </w:r>
    </w:p>
    <w:p w:rsidR="001F7B4F" w:rsidRDefault="001F7B4F" w:rsidP="00DE2C91">
      <w:pPr>
        <w:pStyle w:val="ListParagraph"/>
        <w:numPr>
          <w:ilvl w:val="0"/>
          <w:numId w:val="35"/>
        </w:numPr>
        <w:jc w:val="both"/>
      </w:pPr>
      <w:r>
        <w:t>There have been very minor changes in the vicinity of the western boundary of the proposed extension to accommodate the requirements of</w:t>
      </w:r>
      <w:r w:rsidR="00B07493">
        <w:t xml:space="preserve"> the Environment Agency, particularly concerning flood mitigation and the </w:t>
      </w:r>
      <w:r>
        <w:t>planned OFAS works.</w:t>
      </w:r>
    </w:p>
    <w:p w:rsidR="001F7B4F" w:rsidRDefault="001F7B4F" w:rsidP="00DE2C91">
      <w:pPr>
        <w:pStyle w:val="ListParagraph"/>
        <w:numPr>
          <w:ilvl w:val="0"/>
          <w:numId w:val="35"/>
        </w:numPr>
        <w:jc w:val="both"/>
      </w:pPr>
      <w:r>
        <w:t xml:space="preserve">Taken together these changes have reduced the number of additional car-parking spaces </w:t>
      </w:r>
      <w:r w:rsidR="0081493E">
        <w:t>from 685 t</w:t>
      </w:r>
      <w:r w:rsidR="002F32EC">
        <w:t xml:space="preserve">o a total of </w:t>
      </w:r>
      <w:r w:rsidR="00746ECA">
        <w:t>596</w:t>
      </w:r>
      <w:r>
        <w:t>. Notwithstanding th</w:t>
      </w:r>
      <w:r w:rsidR="00B07493">
        <w:t>is, the payback period still falls within an acceptable range.</w:t>
      </w:r>
    </w:p>
    <w:p w:rsidR="006A2315" w:rsidRDefault="006A2315" w:rsidP="007A1049">
      <w:pPr>
        <w:pStyle w:val="ListParagraph"/>
        <w:jc w:val="both"/>
      </w:pPr>
      <w:r>
        <w:t>Various interested parties including the Mi</w:t>
      </w:r>
      <w:r w:rsidR="007A1049">
        <w:t>d-Counties Co-op Ltd, Johnson Cars Limited</w:t>
      </w:r>
      <w:r>
        <w:t>, Oxford</w:t>
      </w:r>
      <w:r w:rsidR="006928A8">
        <w:t>shire</w:t>
      </w:r>
      <w:r>
        <w:t xml:space="preserve"> County Council, the Environment Agency and the prospective contractor (ODSL) have been informed of these c</w:t>
      </w:r>
      <w:r w:rsidR="00290C88">
        <w:t>hanges and provided with updated</w:t>
      </w:r>
      <w:r>
        <w:t xml:space="preserve"> plans.</w:t>
      </w:r>
    </w:p>
    <w:p w:rsidR="006E5E8B" w:rsidRDefault="00B45CBA" w:rsidP="00DC684E">
      <w:pPr>
        <w:pStyle w:val="ListParagraph"/>
        <w:jc w:val="both"/>
      </w:pPr>
      <w:r>
        <w:t>Alongside finalising plans for the proposed park and ride extension, it has been necessary to address other matters, in particular</w:t>
      </w:r>
      <w:r w:rsidR="00B85F79">
        <w:t xml:space="preserve"> arrangements to secure</w:t>
      </w:r>
      <w:r>
        <w:t xml:space="preserve"> the physical implementation of the scheme. To this end various discussions have been held with ODSL and as a result of this</w:t>
      </w:r>
      <w:r w:rsidR="00B85F79">
        <w:t xml:space="preserve"> process, ODSL</w:t>
      </w:r>
      <w:r>
        <w:t xml:space="preserve"> have recently submitted a price to </w:t>
      </w:r>
      <w:r w:rsidR="003071B7">
        <w:t>deliver the main contract works and this has been subject to a tender review exercise. The price now proposed</w:t>
      </w:r>
      <w:r w:rsidR="00B85F79">
        <w:t xml:space="preserve"> by ODSL is detail</w:t>
      </w:r>
      <w:r w:rsidR="005908E0">
        <w:t xml:space="preserve">ed </w:t>
      </w:r>
      <w:r w:rsidR="009D4B1E">
        <w:t>at</w:t>
      </w:r>
      <w:r w:rsidR="005908E0">
        <w:t xml:space="preserve"> </w:t>
      </w:r>
      <w:r w:rsidR="0081493E">
        <w:t>Exempt</w:t>
      </w:r>
      <w:r w:rsidR="00B85F79">
        <w:t xml:space="preserve"> Appendix 2. </w:t>
      </w:r>
    </w:p>
    <w:p w:rsidR="00DC684E" w:rsidRDefault="00DC684E" w:rsidP="00DC684E">
      <w:pPr>
        <w:pStyle w:val="ListParagraph"/>
        <w:jc w:val="both"/>
      </w:pPr>
      <w:r>
        <w:t>The main contract works will be regulated via a contract, the form of which would be based on a New Engineering Contract (NEC) 3 Option B (with Bill of Quantities).</w:t>
      </w:r>
    </w:p>
    <w:p w:rsidR="00DC684E" w:rsidRDefault="00DC684E" w:rsidP="00DC684E">
      <w:pPr>
        <w:pStyle w:val="ListParagraph"/>
        <w:jc w:val="both"/>
      </w:pPr>
      <w:r>
        <w:t xml:space="preserve">Subject to </w:t>
      </w:r>
      <w:r w:rsidR="00290C88">
        <w:t>the Cabinet</w:t>
      </w:r>
      <w:r w:rsidR="0081493E">
        <w:t xml:space="preserve"> </w:t>
      </w:r>
      <w:r>
        <w:t xml:space="preserve">granting final scheme approval and approving the appointment of ODSL to deliver the main contract works, officers have made arrangements to use </w:t>
      </w:r>
      <w:r w:rsidR="0081493E">
        <w:t>White Young Green (</w:t>
      </w:r>
      <w:r>
        <w:t>WYG</w:t>
      </w:r>
      <w:r w:rsidR="0081493E">
        <w:t>)</w:t>
      </w:r>
      <w:r>
        <w:t xml:space="preserve"> to perform the roles of Contract Adm</w:t>
      </w:r>
      <w:r w:rsidR="0081493E">
        <w:t>inistrator and CDM Co-ordinator, in accordance with the Construction (Design and Management) Regulations 2015.</w:t>
      </w:r>
    </w:p>
    <w:p w:rsidR="000336C0" w:rsidRPr="007A1049" w:rsidRDefault="000336C0" w:rsidP="000336C0">
      <w:pPr>
        <w:rPr>
          <w:b/>
        </w:rPr>
      </w:pPr>
      <w:r w:rsidRPr="007A1049">
        <w:rPr>
          <w:b/>
        </w:rPr>
        <w:t>Options Considered</w:t>
      </w:r>
    </w:p>
    <w:p w:rsidR="000336C0" w:rsidRPr="007A1049" w:rsidRDefault="00B85F79" w:rsidP="000336C0">
      <w:pPr>
        <w:rPr>
          <w:b/>
        </w:rPr>
      </w:pPr>
      <w:r>
        <w:rPr>
          <w:b/>
        </w:rPr>
        <w:t xml:space="preserve">Not implementing the </w:t>
      </w:r>
      <w:r w:rsidR="000336C0" w:rsidRPr="007A1049">
        <w:rPr>
          <w:b/>
        </w:rPr>
        <w:t>scheme.</w:t>
      </w:r>
    </w:p>
    <w:p w:rsidR="001F53A5" w:rsidRDefault="007A1049" w:rsidP="00805455">
      <w:pPr>
        <w:pStyle w:val="ListParagraph"/>
        <w:jc w:val="both"/>
      </w:pPr>
      <w:r>
        <w:t xml:space="preserve">This would mean halting </w:t>
      </w:r>
      <w:r w:rsidR="000336C0">
        <w:t>work now and not proceeding with the physical implementation of the scheme.</w:t>
      </w:r>
      <w:r w:rsidR="001F53A5">
        <w:t xml:space="preserve">  This would result in abortive fees as various consultants have been employed by the Council to</w:t>
      </w:r>
      <w:r>
        <w:t>, for example,</w:t>
      </w:r>
      <w:r w:rsidR="001F53A5">
        <w:t xml:space="preserve"> design the scheme, obtain planning con</w:t>
      </w:r>
      <w:r>
        <w:t xml:space="preserve">sent, produce a programme/ independent </w:t>
      </w:r>
      <w:r w:rsidR="001F53A5">
        <w:t xml:space="preserve">cost estimate and </w:t>
      </w:r>
      <w:r>
        <w:t xml:space="preserve">to </w:t>
      </w:r>
      <w:r w:rsidR="001F53A5">
        <w:t xml:space="preserve">develop the draft contract documentation. </w:t>
      </w:r>
    </w:p>
    <w:p w:rsidR="001F53A5" w:rsidRDefault="001F53A5" w:rsidP="00805455">
      <w:pPr>
        <w:pStyle w:val="ListParagraph"/>
        <w:jc w:val="both"/>
      </w:pPr>
      <w:r>
        <w:t>Financially it would mean forgoing the additional income</w:t>
      </w:r>
      <w:r w:rsidR="0081493E">
        <w:t xml:space="preserve"> from car-parking</w:t>
      </w:r>
      <w:r>
        <w:t xml:space="preserve"> of approximately £193k per annum set out in the Councils Medium Term Financial Strategy.</w:t>
      </w:r>
    </w:p>
    <w:p w:rsidR="001F53A5" w:rsidRDefault="001F53A5" w:rsidP="00805455">
      <w:pPr>
        <w:pStyle w:val="ListParagraph"/>
        <w:jc w:val="both"/>
      </w:pPr>
      <w:r>
        <w:t>More importantly, not improving the existing park and ride facility would undermine the policy of discouraging the use of the private motor vehicle in the City Centre.</w:t>
      </w:r>
    </w:p>
    <w:p w:rsidR="00A34300" w:rsidRDefault="00A34300" w:rsidP="00805455">
      <w:pPr>
        <w:ind w:firstLine="360"/>
        <w:jc w:val="both"/>
        <w:rPr>
          <w:i/>
        </w:rPr>
      </w:pPr>
      <w:r>
        <w:rPr>
          <w:i/>
        </w:rPr>
        <w:t>This option is not recommended.</w:t>
      </w:r>
    </w:p>
    <w:p w:rsidR="00760CCA" w:rsidRPr="00A34300" w:rsidRDefault="00CA3C3A" w:rsidP="000336C0">
      <w:pPr>
        <w:rPr>
          <w:b/>
        </w:rPr>
      </w:pPr>
      <w:r>
        <w:rPr>
          <w:b/>
        </w:rPr>
        <w:lastRenderedPageBreak/>
        <w:t>Implementing the</w:t>
      </w:r>
      <w:r w:rsidR="00B85F79">
        <w:rPr>
          <w:b/>
        </w:rPr>
        <w:t xml:space="preserve"> scheme </w:t>
      </w:r>
      <w:r w:rsidR="00760CCA" w:rsidRPr="00A34300">
        <w:rPr>
          <w:b/>
        </w:rPr>
        <w:t xml:space="preserve">using ODSL as the </w:t>
      </w:r>
      <w:r w:rsidR="007A1049">
        <w:rPr>
          <w:b/>
        </w:rPr>
        <w:t xml:space="preserve">main </w:t>
      </w:r>
      <w:r w:rsidR="00760CCA" w:rsidRPr="00A34300">
        <w:rPr>
          <w:b/>
        </w:rPr>
        <w:t>contractor</w:t>
      </w:r>
    </w:p>
    <w:p w:rsidR="00A34300" w:rsidRDefault="00760CCA" w:rsidP="003B4FB4">
      <w:pPr>
        <w:pStyle w:val="ListParagraph"/>
        <w:jc w:val="both"/>
      </w:pPr>
      <w:r>
        <w:t xml:space="preserve">ODSL as a </w:t>
      </w:r>
      <w:proofErr w:type="spellStart"/>
      <w:r>
        <w:t>Teckal</w:t>
      </w:r>
      <w:proofErr w:type="spellEnd"/>
      <w:r>
        <w:t xml:space="preserve"> </w:t>
      </w:r>
      <w:r w:rsidR="00764D0B">
        <w:t>company</w:t>
      </w:r>
      <w:r>
        <w:t xml:space="preserve"> is exempt from </w:t>
      </w:r>
      <w:r w:rsidR="0081493E">
        <w:t xml:space="preserve">the Public Contracts </w:t>
      </w:r>
      <w:r>
        <w:t>Regulations 2015, and in effect ODSL can be regarded as an arm of the C</w:t>
      </w:r>
      <w:r w:rsidR="00A34300">
        <w:t xml:space="preserve">ouncil. This does not </w:t>
      </w:r>
      <w:r>
        <w:t xml:space="preserve">provide exemption from the duty to address best value. </w:t>
      </w:r>
      <w:r w:rsidR="00A34300">
        <w:t xml:space="preserve">Here, </w:t>
      </w:r>
      <w:r>
        <w:t>ODSL have sub</w:t>
      </w:r>
      <w:r w:rsidR="00F2588D">
        <w:t xml:space="preserve">mitted an independently </w:t>
      </w:r>
      <w:r w:rsidR="009D4B1E">
        <w:t>evaluated</w:t>
      </w:r>
      <w:r w:rsidR="00A34300">
        <w:t xml:space="preserve"> competitive price, offer operational</w:t>
      </w:r>
      <w:r>
        <w:t xml:space="preserve"> flexibility, which is considered key </w:t>
      </w:r>
      <w:r w:rsidR="00A34300">
        <w:t xml:space="preserve">here </w:t>
      </w:r>
      <w:r>
        <w:t>due to the interface of the proposed Park &amp; Ride extension with works proposed to be undertaken as part of the O</w:t>
      </w:r>
      <w:r w:rsidR="00A34300">
        <w:t>xford Flood Alleviation Scheme;</w:t>
      </w:r>
      <w:r w:rsidR="003B4FB4">
        <w:t xml:space="preserve"> </w:t>
      </w:r>
      <w:r>
        <w:t>apply Council policies concerning thin</w:t>
      </w:r>
      <w:r w:rsidR="00A34300">
        <w:t xml:space="preserve">gs like the Oxford Living Wage; support a local workforce; </w:t>
      </w:r>
      <w:r>
        <w:t>use</w:t>
      </w:r>
      <w:r w:rsidR="00A34300">
        <w:t>,</w:t>
      </w:r>
      <w:r>
        <w:t xml:space="preserve"> to the extent possible, the local supply chain, and potentially provide indirect benefit to the Council tax-payer through the payment of dividend to the shareholder (which is the Council)</w:t>
      </w:r>
      <w:r w:rsidR="00A34300">
        <w:t xml:space="preserve">, </w:t>
      </w:r>
      <w:r w:rsidR="009D4B1E">
        <w:t xml:space="preserve">and as such </w:t>
      </w:r>
      <w:r w:rsidR="00A34300">
        <w:t xml:space="preserve">their appointment is considered to provide best value in this instance. </w:t>
      </w:r>
    </w:p>
    <w:p w:rsidR="00760CCA" w:rsidRPr="007A1049" w:rsidRDefault="00A34300" w:rsidP="003B4FB4">
      <w:pPr>
        <w:ind w:firstLine="360"/>
        <w:rPr>
          <w:i/>
          <w:u w:val="single"/>
        </w:rPr>
      </w:pPr>
      <w:r w:rsidRPr="007A1049">
        <w:rPr>
          <w:i/>
          <w:u w:val="single"/>
        </w:rPr>
        <w:t>This is the recommended option.</w:t>
      </w:r>
    </w:p>
    <w:p w:rsidR="00A34300" w:rsidRPr="00A34300" w:rsidRDefault="007A1049" w:rsidP="00A34300">
      <w:pPr>
        <w:rPr>
          <w:b/>
        </w:rPr>
      </w:pPr>
      <w:r>
        <w:rPr>
          <w:b/>
        </w:rPr>
        <w:t>I</w:t>
      </w:r>
      <w:r w:rsidR="00B85F79">
        <w:rPr>
          <w:b/>
        </w:rPr>
        <w:t xml:space="preserve">mplementing the proposed scheme </w:t>
      </w:r>
      <w:r>
        <w:rPr>
          <w:b/>
        </w:rPr>
        <w:t>using an external c</w:t>
      </w:r>
      <w:r w:rsidR="00A34300" w:rsidRPr="00A34300">
        <w:rPr>
          <w:b/>
        </w:rPr>
        <w:t>ontractor selected via a pre-procured Framework or via Open Market Tender</w:t>
      </w:r>
    </w:p>
    <w:p w:rsidR="00A34300" w:rsidRDefault="00B85F79" w:rsidP="003B4FB4">
      <w:pPr>
        <w:pStyle w:val="ListParagraph"/>
        <w:jc w:val="both"/>
      </w:pPr>
      <w:r>
        <w:t>T</w:t>
      </w:r>
      <w:r w:rsidR="00A34300">
        <w:t>hese alternative procurement routes are always open to the Council, but at this stage taking either of these options would introduce an element of delay compared to using ODSL, which as a Teckal company is exempt f</w:t>
      </w:r>
      <w:r w:rsidR="0081493E">
        <w:t xml:space="preserve">rom the Public Contracts </w:t>
      </w:r>
      <w:r w:rsidR="00A34300">
        <w:t>Regulations</w:t>
      </w:r>
      <w:r w:rsidR="007A1049">
        <w:t xml:space="preserve"> </w:t>
      </w:r>
      <w:r w:rsidR="0081493E">
        <w:t xml:space="preserve">2015 </w:t>
      </w:r>
      <w:r w:rsidR="007A1049">
        <w:t xml:space="preserve">and is able to start on site somewhere between </w:t>
      </w:r>
      <w:r w:rsidR="00AC1951">
        <w:t xml:space="preserve">the end of </w:t>
      </w:r>
      <w:r w:rsidR="007A1049">
        <w:t xml:space="preserve">June and mid-July 2019. </w:t>
      </w:r>
      <w:r w:rsidR="00A34300">
        <w:t xml:space="preserve"> If ODSL had not submitted an independently examined competitive price or if they could not reasonably demonstrate that they adequately addressed best value, then it would </w:t>
      </w:r>
      <w:r w:rsidR="0081493E">
        <w:t xml:space="preserve">have </w:t>
      </w:r>
      <w:r w:rsidR="00A34300">
        <w:t>be</w:t>
      </w:r>
      <w:r w:rsidR="0081493E">
        <w:t>en</w:t>
      </w:r>
      <w:r w:rsidR="00A34300">
        <w:t xml:space="preserve"> appropriate to select o</w:t>
      </w:r>
      <w:r w:rsidR="007A1049">
        <w:t xml:space="preserve">ne of these alternative options to obtain </w:t>
      </w:r>
      <w:r w:rsidR="00AC1951">
        <w:t xml:space="preserve">a suitable </w:t>
      </w:r>
      <w:r w:rsidR="007A1049">
        <w:t>contractor to deliver the main-contract.</w:t>
      </w:r>
    </w:p>
    <w:p w:rsidR="00A34300" w:rsidRPr="00A34300" w:rsidRDefault="00A34300" w:rsidP="003B4FB4">
      <w:pPr>
        <w:ind w:firstLine="360"/>
        <w:rPr>
          <w:i/>
        </w:rPr>
      </w:pPr>
      <w:r>
        <w:rPr>
          <w:i/>
        </w:rPr>
        <w:t>This option is not recommended.</w:t>
      </w:r>
    </w:p>
    <w:p w:rsidR="00E87F7A" w:rsidRPr="003B4FB4" w:rsidRDefault="00E87F7A" w:rsidP="003B4FB4">
      <w:r w:rsidRPr="001356F1">
        <w:rPr>
          <w:b/>
        </w:rPr>
        <w:t xml:space="preserve">Other implications </w:t>
      </w:r>
    </w:p>
    <w:p w:rsidR="00E87F7A" w:rsidRPr="00C43304" w:rsidRDefault="00C85B4E" w:rsidP="00F620F9">
      <w:pPr>
        <w:pStyle w:val="Bulletpoints"/>
        <w:numPr>
          <w:ilvl w:val="0"/>
          <w:numId w:val="0"/>
        </w:numPr>
        <w:rPr>
          <w:b/>
        </w:rPr>
      </w:pPr>
      <w:r w:rsidRPr="00C43304">
        <w:rPr>
          <w:b/>
        </w:rPr>
        <w:t>C</w:t>
      </w:r>
      <w:r w:rsidR="00C43304">
        <w:rPr>
          <w:b/>
        </w:rPr>
        <w:t>rime and D</w:t>
      </w:r>
      <w:r w:rsidR="003B4FB4">
        <w:rPr>
          <w:b/>
        </w:rPr>
        <w:t>isorder</w:t>
      </w:r>
    </w:p>
    <w:p w:rsidR="00F620F9" w:rsidRDefault="00F620F9" w:rsidP="003B4FB4">
      <w:pPr>
        <w:pStyle w:val="ListParagraph"/>
      </w:pPr>
      <w:r>
        <w:t>There are two groups of issues here:</w:t>
      </w:r>
    </w:p>
    <w:p w:rsidR="00F620F9" w:rsidRDefault="00F620F9" w:rsidP="003B4FB4">
      <w:pPr>
        <w:pStyle w:val="Bulletpoints"/>
        <w:jc w:val="both"/>
      </w:pPr>
      <w:r>
        <w:t>During construction the contractor will take care to ensure that the site is appropriately contained and supervised at all times, in order to not only deter unauthorised access and possible criminal activity, but also to promote public safety.</w:t>
      </w:r>
    </w:p>
    <w:p w:rsidR="00F620F9" w:rsidRDefault="00F620F9" w:rsidP="003B4FB4">
      <w:pPr>
        <w:pStyle w:val="Bulletpoints"/>
        <w:jc w:val="both"/>
      </w:pPr>
      <w:r>
        <w:t>The completed scheme will incorporate high-level lighting and CCTV to deter crime and promote public safety, and the design will also make it more difficult for unauthorised vehicles to access the site.</w:t>
      </w:r>
    </w:p>
    <w:p w:rsidR="00050124" w:rsidRDefault="006E5E8B" w:rsidP="006E5E8B">
      <w:pPr>
        <w:pStyle w:val="Bulletpoints"/>
        <w:numPr>
          <w:ilvl w:val="0"/>
          <w:numId w:val="0"/>
        </w:numPr>
        <w:rPr>
          <w:b/>
        </w:rPr>
      </w:pPr>
      <w:r w:rsidRPr="008A080B">
        <w:rPr>
          <w:b/>
        </w:rPr>
        <w:t xml:space="preserve">Health and Safety Implications </w:t>
      </w:r>
    </w:p>
    <w:p w:rsidR="00050124" w:rsidRDefault="00050124" w:rsidP="00B97352">
      <w:pPr>
        <w:pStyle w:val="ListParagraph"/>
        <w:jc w:val="both"/>
      </w:pPr>
      <w:r>
        <w:t xml:space="preserve">The Council is classed as a Commercial Client under the Construction Design and Management Regulations </w:t>
      </w:r>
      <w:r w:rsidR="0020381C">
        <w:t xml:space="preserve">(CDM) </w:t>
      </w:r>
      <w:r>
        <w:t>2015, and must perform specified duties; these include making suitable arrang</w:t>
      </w:r>
      <w:r w:rsidR="00B97352">
        <w:t>e</w:t>
      </w:r>
      <w:r>
        <w:t>ments for man</w:t>
      </w:r>
      <w:r w:rsidR="00B97352">
        <w:t>aging heal</w:t>
      </w:r>
      <w:r>
        <w:t>th and safety during the project and ensuring that other competent duty holders are appointed. To this end the Council has appointed WYG as Principal Designer and Designer.</w:t>
      </w:r>
    </w:p>
    <w:p w:rsidR="00050124" w:rsidRDefault="00050124" w:rsidP="00B97352">
      <w:pPr>
        <w:pStyle w:val="ListParagraph"/>
        <w:jc w:val="both"/>
      </w:pPr>
      <w:r>
        <w:t>The Designers duties include planning, managing, monitoring and co-ordinating Health and Safety in the pre-construction phase of a project throughout the design process. By contrast the Principal Designer performs an important role in influencing how risks to Health and Safety are managed throughout a project.</w:t>
      </w:r>
    </w:p>
    <w:p w:rsidR="00B97352" w:rsidRPr="00050124" w:rsidRDefault="00B97352" w:rsidP="00B97352">
      <w:pPr>
        <w:pStyle w:val="ListParagraph"/>
        <w:jc w:val="both"/>
      </w:pPr>
      <w:r>
        <w:lastRenderedPageBreak/>
        <w:t xml:space="preserve">WYG’s dedicated site management team will, assuming that </w:t>
      </w:r>
      <w:r w:rsidR="0081493E">
        <w:t>C</w:t>
      </w:r>
      <w:r w:rsidR="000438B3">
        <w:t>abinet</w:t>
      </w:r>
      <w:r>
        <w:t xml:space="preserve"> grant</w:t>
      </w:r>
      <w:r w:rsidR="003B37EB">
        <w:t>s</w:t>
      </w:r>
      <w:r>
        <w:t xml:space="preserve"> final scheme approval, carry out the duties under the CDM regulations for the duration of the construction phase and will con</w:t>
      </w:r>
      <w:r w:rsidR="00805455">
        <w:t>tinuously assess Health and Safety</w:t>
      </w:r>
      <w:r>
        <w:t xml:space="preserve"> on behalf of the </w:t>
      </w:r>
      <w:r w:rsidR="0020381C">
        <w:t xml:space="preserve">City </w:t>
      </w:r>
      <w:r>
        <w:t>Council.</w:t>
      </w:r>
    </w:p>
    <w:p w:rsidR="00C43304" w:rsidRPr="006E5E8B" w:rsidRDefault="00C85B4E" w:rsidP="00B97352">
      <w:pPr>
        <w:pStyle w:val="Bulletpoints"/>
        <w:numPr>
          <w:ilvl w:val="0"/>
          <w:numId w:val="0"/>
        </w:numPr>
        <w:jc w:val="both"/>
      </w:pPr>
      <w:r w:rsidRPr="00F620F9">
        <w:rPr>
          <w:b/>
        </w:rPr>
        <w:t>E</w:t>
      </w:r>
      <w:r w:rsidR="00E87F7A" w:rsidRPr="00F620F9">
        <w:rPr>
          <w:b/>
        </w:rPr>
        <w:t xml:space="preserve">nvironmental </w:t>
      </w:r>
      <w:r w:rsidR="00F620F9" w:rsidRPr="00F620F9">
        <w:rPr>
          <w:b/>
        </w:rPr>
        <w:t>Implications</w:t>
      </w:r>
    </w:p>
    <w:p w:rsidR="00B07493" w:rsidRDefault="00B07493" w:rsidP="00B97352">
      <w:pPr>
        <w:pStyle w:val="ListParagraph"/>
        <w:jc w:val="both"/>
      </w:pPr>
      <w:r>
        <w:t>The current policy of the City and County Councils</w:t>
      </w:r>
      <w:r w:rsidR="00DE2C91">
        <w:t xml:space="preserve"> is to encourage the use of P&amp;R</w:t>
      </w:r>
      <w:r w:rsidR="002E60AB">
        <w:t xml:space="preserve"> </w:t>
      </w:r>
      <w:r>
        <w:t xml:space="preserve">sites and to discourage the </w:t>
      </w:r>
      <w:r w:rsidR="002E60AB">
        <w:t xml:space="preserve">private </w:t>
      </w:r>
      <w:r w:rsidR="00254F5E">
        <w:t xml:space="preserve">motorist from driving into </w:t>
      </w:r>
      <w:r>
        <w:t>the City. This policy has been extremely successful in reducing city centre congestion and pollution</w:t>
      </w:r>
      <w:r w:rsidR="002E60AB">
        <w:t>.</w:t>
      </w:r>
    </w:p>
    <w:p w:rsidR="00D34D2F" w:rsidRDefault="00B07493" w:rsidP="00B97352">
      <w:pPr>
        <w:pStyle w:val="ListParagraph"/>
        <w:jc w:val="both"/>
      </w:pPr>
      <w:r>
        <w:t>In order for the P&amp;R sites to remain an effective measure of control, there obviously needs to</w:t>
      </w:r>
      <w:r w:rsidR="00B45CBA">
        <w:t xml:space="preserve"> be</w:t>
      </w:r>
      <w:r>
        <w:t xml:space="preserve"> an appropriate level of capacity in the sites to meet</w:t>
      </w:r>
      <w:r w:rsidR="00D34D2F">
        <w:t xml:space="preserve"> demand. If </w:t>
      </w:r>
      <w:r w:rsidR="00254F5E">
        <w:t xml:space="preserve">there are </w:t>
      </w:r>
      <w:r w:rsidR="00D34D2F">
        <w:t>insufficient sites and/or capacity do</w:t>
      </w:r>
      <w:r w:rsidR="00254F5E">
        <w:t>es</w:t>
      </w:r>
      <w:r w:rsidR="00D34D2F">
        <w:t xml:space="preserve"> not exist, then potential customers will be forced to seek parking elsewhere, probably resulting in slow journeys around city streets, contributing to congestion and creating avoidable emissions.</w:t>
      </w:r>
    </w:p>
    <w:p w:rsidR="00D34D2F" w:rsidRDefault="00D34D2F" w:rsidP="00B97352">
      <w:pPr>
        <w:pStyle w:val="ListParagraph"/>
        <w:jc w:val="both"/>
      </w:pPr>
      <w:r>
        <w:t>As the amount of city centre parking is reduced and the zero emission zone (ZEZ) is introduced, it is reasonably anticipated that the requirement for P&amp;R parking will increase. It is therefore appropriate that additional provision is made to enable</w:t>
      </w:r>
      <w:r w:rsidR="0020381C">
        <w:t xml:space="preserve"> and support</w:t>
      </w:r>
      <w:r>
        <w:t xml:space="preserve"> a positive and sustainable change in customers’ behaviour.</w:t>
      </w:r>
      <w:r w:rsidR="00BF0830">
        <w:t xml:space="preserve"> The consented scheme also makes provision for some additional electric vehicle charging points</w:t>
      </w:r>
      <w:r w:rsidR="00DE26AF">
        <w:t>.</w:t>
      </w:r>
    </w:p>
    <w:p w:rsidR="00300929" w:rsidRPr="00300929" w:rsidRDefault="00300929" w:rsidP="00B97352">
      <w:pPr>
        <w:pStyle w:val="Bulletpoints"/>
        <w:numPr>
          <w:ilvl w:val="0"/>
          <w:numId w:val="0"/>
        </w:numPr>
        <w:jc w:val="both"/>
      </w:pPr>
      <w:r w:rsidRPr="00F620F9">
        <w:rPr>
          <w:b/>
        </w:rPr>
        <w:t xml:space="preserve">Sustainability </w:t>
      </w:r>
      <w:r>
        <w:rPr>
          <w:b/>
        </w:rPr>
        <w:t>Implication</w:t>
      </w:r>
      <w:r w:rsidR="00686B8D">
        <w:rPr>
          <w:b/>
        </w:rPr>
        <w:t>s</w:t>
      </w:r>
    </w:p>
    <w:p w:rsidR="00300929" w:rsidRDefault="003071B7" w:rsidP="00805455">
      <w:pPr>
        <w:pStyle w:val="ListParagraph"/>
        <w:jc w:val="both"/>
      </w:pPr>
      <w:r>
        <w:t>The consented scheme provided</w:t>
      </w:r>
      <w:r w:rsidR="00300929">
        <w:t xml:space="preserve"> for a:</w:t>
      </w:r>
    </w:p>
    <w:p w:rsidR="00300929" w:rsidRDefault="00300929" w:rsidP="00805455">
      <w:pPr>
        <w:pStyle w:val="Bulletpoints"/>
        <w:numPr>
          <w:ilvl w:val="0"/>
          <w:numId w:val="38"/>
        </w:numPr>
        <w:jc w:val="both"/>
      </w:pPr>
      <w:r>
        <w:t>Ground source heat pump to provide space heating and hot water for the proposed single storey customer focused building;</w:t>
      </w:r>
    </w:p>
    <w:p w:rsidR="00300929" w:rsidRDefault="00300929" w:rsidP="00805455">
      <w:pPr>
        <w:pStyle w:val="Bulletpoints"/>
        <w:numPr>
          <w:ilvl w:val="0"/>
          <w:numId w:val="38"/>
        </w:numPr>
        <w:jc w:val="both"/>
      </w:pPr>
      <w:r>
        <w:t>Sustainable urban drainage sys</w:t>
      </w:r>
      <w:r w:rsidR="006E5E8B">
        <w:t>tem for all hard surfaced areas;</w:t>
      </w:r>
    </w:p>
    <w:p w:rsidR="00300929" w:rsidRDefault="00300929" w:rsidP="00805455">
      <w:pPr>
        <w:pStyle w:val="Bulletpoints"/>
        <w:numPr>
          <w:ilvl w:val="0"/>
          <w:numId w:val="38"/>
        </w:numPr>
        <w:jc w:val="both"/>
      </w:pPr>
      <w:r>
        <w:t>Sedum-planted green roof for the</w:t>
      </w:r>
      <w:r w:rsidR="00DD3F32">
        <w:t xml:space="preserve"> proposed</w:t>
      </w:r>
      <w:r>
        <w:t xml:space="preserve"> single storey </w:t>
      </w:r>
      <w:r w:rsidR="006E5E8B">
        <w:t xml:space="preserve">customer focused </w:t>
      </w:r>
      <w:r>
        <w:t>building.</w:t>
      </w:r>
    </w:p>
    <w:p w:rsidR="00300929" w:rsidRDefault="006E5E8B" w:rsidP="00805455">
      <w:pPr>
        <w:pStyle w:val="ListParagraph"/>
        <w:jc w:val="both"/>
      </w:pPr>
      <w:r>
        <w:t xml:space="preserve">More generally, issues concerning sustainability </w:t>
      </w:r>
      <w:r w:rsidR="00300929">
        <w:t xml:space="preserve">were </w:t>
      </w:r>
      <w:r>
        <w:t xml:space="preserve">considered as </w:t>
      </w:r>
      <w:r w:rsidR="00300929">
        <w:t xml:space="preserve">part of </w:t>
      </w:r>
      <w:r w:rsidR="00254F5E">
        <w:t xml:space="preserve">the </w:t>
      </w:r>
      <w:r w:rsidR="00300929">
        <w:t>planning application that was</w:t>
      </w:r>
      <w:r>
        <w:t xml:space="preserve"> determined</w:t>
      </w:r>
      <w:r w:rsidR="00300929">
        <w:t xml:space="preserve"> by t</w:t>
      </w:r>
      <w:r w:rsidR="00254F5E">
        <w:t>he Planning Committee in January 2018, following which the Planning Decision was issued on 12</w:t>
      </w:r>
      <w:r w:rsidR="00254F5E" w:rsidRPr="00254F5E">
        <w:rPr>
          <w:vertAlign w:val="superscript"/>
        </w:rPr>
        <w:t>th</w:t>
      </w:r>
      <w:r w:rsidR="00254F5E">
        <w:t xml:space="preserve"> March 2018.</w:t>
      </w:r>
    </w:p>
    <w:p w:rsidR="0040736F" w:rsidRPr="001356F1" w:rsidRDefault="002329CF" w:rsidP="004A6D2F">
      <w:pPr>
        <w:pStyle w:val="Heading1"/>
      </w:pPr>
      <w:r w:rsidRPr="001356F1">
        <w:t>Financial implications</w:t>
      </w:r>
    </w:p>
    <w:p w:rsidR="00E87F7A" w:rsidRDefault="00201BE2" w:rsidP="00201BE2">
      <w:pPr>
        <w:pStyle w:val="ListParagraph"/>
        <w:jc w:val="both"/>
      </w:pPr>
      <w:r>
        <w:t xml:space="preserve">The </w:t>
      </w:r>
      <w:r w:rsidR="004E19F2">
        <w:t xml:space="preserve">capital </w:t>
      </w:r>
      <w:r>
        <w:t xml:space="preserve">budget for this scheme </w:t>
      </w:r>
      <w:r w:rsidR="00330012">
        <w:t xml:space="preserve">is now </w:t>
      </w:r>
      <w:r w:rsidR="00805455">
        <w:t>approximately £5.156m</w:t>
      </w:r>
      <w:r>
        <w:t>.</w:t>
      </w:r>
      <w:r w:rsidR="004E19F2">
        <w:t xml:space="preserve"> It is envisaged that the majority, if not all of the scheme, will be funded from </w:t>
      </w:r>
      <w:r w:rsidR="006E5E8B">
        <w:t xml:space="preserve">the </w:t>
      </w:r>
      <w:r w:rsidR="004E19F2">
        <w:t>Community Infrastructure Levy, with any balance being drawn from the Council’s Capital Financing Reserve.</w:t>
      </w:r>
    </w:p>
    <w:p w:rsidR="00201BE2" w:rsidRDefault="00201BE2" w:rsidP="00201BE2">
      <w:pPr>
        <w:pStyle w:val="ListParagraph"/>
        <w:jc w:val="both"/>
      </w:pPr>
      <w:r>
        <w:t>This needs to cover expenditure to date, consultant fees, miscellaneous expenses, contingency and the main contract works.</w:t>
      </w:r>
    </w:p>
    <w:p w:rsidR="00201BE2" w:rsidRDefault="00201BE2" w:rsidP="00201BE2">
      <w:pPr>
        <w:pStyle w:val="ListParagraph"/>
        <w:jc w:val="both"/>
      </w:pPr>
      <w:r>
        <w:t xml:space="preserve">The </w:t>
      </w:r>
      <w:r w:rsidR="00BC21CA">
        <w:t xml:space="preserve">contract price </w:t>
      </w:r>
      <w:r>
        <w:t>submitted by ODSL to deliver the consented scheme, as modified, can be accommodated within the existing budget whi</w:t>
      </w:r>
      <w:r w:rsidR="00333DB0">
        <w:t>lst allowing an externally recommended level of</w:t>
      </w:r>
      <w:r>
        <w:t xml:space="preserve"> contingency. </w:t>
      </w:r>
    </w:p>
    <w:p w:rsidR="00B675C9" w:rsidRDefault="004E19F2" w:rsidP="00201BE2">
      <w:pPr>
        <w:pStyle w:val="ListParagraph"/>
        <w:jc w:val="both"/>
      </w:pPr>
      <w:r>
        <w:t>In terms of the Council’s revenue budget, the Medium Term Financial Plan, includes an annual contribution of £193k per annum, from 1</w:t>
      </w:r>
      <w:r w:rsidRPr="004E19F2">
        <w:rPr>
          <w:vertAlign w:val="superscript"/>
        </w:rPr>
        <w:t>st</w:t>
      </w:r>
      <w:r>
        <w:t xml:space="preserve"> April 2020. Clearly some adjustment will be necessary because the estimated completion date is </w:t>
      </w:r>
      <w:r w:rsidR="00900EB0">
        <w:t xml:space="preserve">now </w:t>
      </w:r>
      <w:r>
        <w:t xml:space="preserve">July 2020. </w:t>
      </w:r>
    </w:p>
    <w:p w:rsidR="00521EA1" w:rsidRDefault="00521EA1" w:rsidP="008B7087">
      <w:pPr>
        <w:pStyle w:val="ListParagraph"/>
        <w:jc w:val="both"/>
      </w:pPr>
      <w:r>
        <w:lastRenderedPageBreak/>
        <w:t>In terms of the business case</w:t>
      </w:r>
      <w:r w:rsidR="00290C88">
        <w:t>, the current scheme (as modified</w:t>
      </w:r>
      <w:r>
        <w:t xml:space="preserve">) would, assuming that all of the budget provision was utilised, provide a payback period of </w:t>
      </w:r>
      <w:r w:rsidR="00D8271C">
        <w:t>approximately</w:t>
      </w:r>
      <w:r w:rsidR="00BD4D57">
        <w:t xml:space="preserve"> </w:t>
      </w:r>
      <w:r w:rsidR="00D8271C">
        <w:t xml:space="preserve">17 </w:t>
      </w:r>
      <w:r>
        <w:t>years</w:t>
      </w:r>
      <w:r w:rsidR="00BD4D57">
        <w:t>, assuming that there were in</w:t>
      </w:r>
      <w:r w:rsidR="0091171D">
        <w:t>flationary increases to car-parking charges.</w:t>
      </w:r>
      <w:r w:rsidR="008B7087">
        <w:t xml:space="preserve"> </w:t>
      </w:r>
      <w:r>
        <w:t>Further detai</w:t>
      </w:r>
      <w:r w:rsidR="00254F5E">
        <w:t>ls are contained in Exempt</w:t>
      </w:r>
      <w:r>
        <w:t xml:space="preserve"> Appendix </w:t>
      </w:r>
      <w:r w:rsidR="006C433C">
        <w:t>2</w:t>
      </w:r>
      <w:r>
        <w:t xml:space="preserve"> (attached). </w:t>
      </w:r>
    </w:p>
    <w:p w:rsidR="002E60AB" w:rsidRPr="001356F1" w:rsidRDefault="002E60AB" w:rsidP="00201BE2">
      <w:pPr>
        <w:pStyle w:val="ListParagraph"/>
        <w:jc w:val="both"/>
      </w:pPr>
      <w:r>
        <w:t>The award of the main works contract to ODSL is considered appropriate in best value terms because their price was competitive compared to an estimate produced by a</w:t>
      </w:r>
      <w:r w:rsidR="00507E66">
        <w:t>n indepe</w:t>
      </w:r>
      <w:r w:rsidR="00333DB0">
        <w:t>ndent quantity surveyor which was examined via a tender evaluation exercise.</w:t>
      </w:r>
      <w:r w:rsidR="00507E66">
        <w:t xml:space="preserve"> The employment</w:t>
      </w:r>
      <w:r>
        <w:t xml:space="preserve"> </w:t>
      </w:r>
      <w:r w:rsidR="00507E66">
        <w:t xml:space="preserve">of ODSL </w:t>
      </w:r>
      <w:r>
        <w:t xml:space="preserve">will contribute to their profitability, where the </w:t>
      </w:r>
      <w:r w:rsidR="00507E66">
        <w:t>Council, as shareholder, is</w:t>
      </w:r>
      <w:r>
        <w:t xml:space="preserve"> able to receive dividend, which provides </w:t>
      </w:r>
      <w:r w:rsidR="00507E66">
        <w:t>indirect value to the Council tax-payer. In addition ODSL support the Oxford Living Wage, employ a largely local workforce and make an increasing use of local sub-contractors and the local supply chain, which all presents additional social and economic value.</w:t>
      </w:r>
    </w:p>
    <w:p w:rsidR="0040736F" w:rsidRPr="001356F1" w:rsidRDefault="00DA614B" w:rsidP="004A6D2F">
      <w:pPr>
        <w:pStyle w:val="Heading1"/>
      </w:pPr>
      <w:r w:rsidRPr="001356F1">
        <w:t>Legal issues</w:t>
      </w:r>
    </w:p>
    <w:p w:rsidR="00E87F7A" w:rsidRDefault="00AA0E8B" w:rsidP="00C43304">
      <w:pPr>
        <w:pStyle w:val="ListParagraph"/>
        <w:jc w:val="both"/>
      </w:pPr>
      <w:r>
        <w:t>The Council exercise</w:t>
      </w:r>
      <w:r w:rsidR="004738DC">
        <w:t>s</w:t>
      </w:r>
      <w:r>
        <w:t xml:space="preserve"> control of ODSL</w:t>
      </w:r>
      <w:r w:rsidR="004738DC">
        <w:t>, it has no private shareholders,</w:t>
      </w:r>
      <w:r>
        <w:t xml:space="preserve"> and at least 80</w:t>
      </w:r>
      <w:r w:rsidR="004738DC">
        <w:t>% of its activities are carried out in the performance of tasks entrusted to it by the Council. In short ODSL enjoys the benefit of Teckal company status.</w:t>
      </w:r>
    </w:p>
    <w:p w:rsidR="004738DC" w:rsidRDefault="004738DC" w:rsidP="00C43304">
      <w:pPr>
        <w:pStyle w:val="ListParagraph"/>
        <w:jc w:val="both"/>
      </w:pPr>
      <w:r>
        <w:t>Amongst other things</w:t>
      </w:r>
      <w:r w:rsidR="006E5E8B">
        <w:t>,</w:t>
      </w:r>
      <w:r>
        <w:t xml:space="preserve"> this me</w:t>
      </w:r>
      <w:r w:rsidR="00CB770A">
        <w:t xml:space="preserve">ans that ODSL falls outside of </w:t>
      </w:r>
      <w:r w:rsidR="000769ED">
        <w:t xml:space="preserve">the </w:t>
      </w:r>
      <w:r w:rsidR="00CB770A">
        <w:t>P</w:t>
      </w:r>
      <w:r>
        <w:t xml:space="preserve">ublic </w:t>
      </w:r>
      <w:r w:rsidR="00254F5E">
        <w:t>Contracts</w:t>
      </w:r>
      <w:r>
        <w:t xml:space="preserve"> </w:t>
      </w:r>
      <w:r w:rsidR="00254F5E">
        <w:t>Regulations 2015</w:t>
      </w:r>
      <w:r>
        <w:t xml:space="preserve"> with regard to:</w:t>
      </w:r>
    </w:p>
    <w:p w:rsidR="004738DC" w:rsidRDefault="004738DC" w:rsidP="00C43304">
      <w:pPr>
        <w:pStyle w:val="ListParagraph"/>
        <w:numPr>
          <w:ilvl w:val="0"/>
          <w:numId w:val="37"/>
        </w:numPr>
        <w:jc w:val="both"/>
      </w:pPr>
      <w:r>
        <w:t>Public contracts awarded by the Council</w:t>
      </w:r>
    </w:p>
    <w:p w:rsidR="004738DC" w:rsidRDefault="004738DC" w:rsidP="00C43304">
      <w:pPr>
        <w:pStyle w:val="ListParagraph"/>
        <w:numPr>
          <w:ilvl w:val="0"/>
          <w:numId w:val="37"/>
        </w:numPr>
        <w:jc w:val="both"/>
      </w:pPr>
      <w:r>
        <w:t>Public contracts awarded by ODSL to the Council</w:t>
      </w:r>
    </w:p>
    <w:p w:rsidR="004738DC" w:rsidRDefault="004738DC" w:rsidP="00C43304">
      <w:pPr>
        <w:pStyle w:val="ListParagraph"/>
        <w:numPr>
          <w:ilvl w:val="0"/>
          <w:numId w:val="37"/>
        </w:numPr>
        <w:jc w:val="both"/>
      </w:pPr>
      <w:r>
        <w:t>Public contracts awarded by ODSL to “another legal person controlled by the Council.</w:t>
      </w:r>
    </w:p>
    <w:p w:rsidR="004738DC" w:rsidRDefault="00254F5E" w:rsidP="00254F5E">
      <w:pPr>
        <w:pStyle w:val="ListParagraph"/>
        <w:jc w:val="both"/>
      </w:pPr>
      <w:r>
        <w:t xml:space="preserve">The </w:t>
      </w:r>
      <w:r w:rsidR="006E5E8B">
        <w:t xml:space="preserve">Council is </w:t>
      </w:r>
      <w:r>
        <w:t xml:space="preserve">therefore </w:t>
      </w:r>
      <w:r w:rsidR="006E5E8B">
        <w:t>quite within its</w:t>
      </w:r>
      <w:r w:rsidR="00CB770A">
        <w:t xml:space="preserve"> rights to award the main contract works for the proposed extension of the park and ride scheme to ODSL.</w:t>
      </w:r>
    </w:p>
    <w:p w:rsidR="00CB770A" w:rsidRDefault="00CB770A" w:rsidP="00254F5E">
      <w:pPr>
        <w:pStyle w:val="ListParagraph"/>
        <w:jc w:val="both"/>
      </w:pPr>
      <w:r>
        <w:t>Notwithstanding t</w:t>
      </w:r>
      <w:r w:rsidR="00D60F2D">
        <w:t>his</w:t>
      </w:r>
      <w:r>
        <w:t>, the Council still has to satisfy itself that the award of a contract to ODSL reasonably provides ‘</w:t>
      </w:r>
      <w:r w:rsidR="00254F5E">
        <w:t>best value’ under Section 3 of the Local Government Act 1999. As a best value authority the Council must make arrangements to secure continuous improvement in the way in which its functions are exercised, having regard to a combination of economy, efficiency and effectiveness.</w:t>
      </w:r>
      <w:r w:rsidR="00322F4E">
        <w:t xml:space="preserve"> Given the context within which ODSL operates this can be demonstrated via an independent valuation exercise, informed by the ‘social value’ of the contract, such that the proposed price submitted by ODSL is a genuine market price.</w:t>
      </w:r>
    </w:p>
    <w:p w:rsidR="00322F4E" w:rsidRDefault="00322F4E" w:rsidP="00254F5E">
      <w:pPr>
        <w:pStyle w:val="ListParagraph"/>
        <w:jc w:val="both"/>
      </w:pPr>
      <w:r>
        <w:t xml:space="preserve">The Council must also be satisfied that </w:t>
      </w:r>
      <w:r w:rsidR="002E6586">
        <w:t>a</w:t>
      </w:r>
      <w:r w:rsidR="00B242C3">
        <w:t>warding</w:t>
      </w:r>
      <w:r>
        <w:t xml:space="preserve"> this contract to ODSL does not confer an unlawful advantage on ODSL, and therefore does not constitute illegal State Aid. State Aid is any assistance or subsidy given by a Member State which distorts or threatens to distort competition. State Aid can appear in many guises and is effectively anything that is provided at below market value.</w:t>
      </w:r>
    </w:p>
    <w:p w:rsidR="00322F4E" w:rsidRDefault="00322F4E" w:rsidP="00254F5E">
      <w:pPr>
        <w:pStyle w:val="ListParagraph"/>
        <w:jc w:val="both"/>
      </w:pPr>
      <w:r>
        <w:t>Economic transactions carried out by a public body such as the Council do not confer an advantage on the other party (ODSL), and therefore do not constitute illegal aid, if they are carried out in line with normal market conditions. This circumstance is normally referred to as the Market Economy Operator Principle (MEOP). In order to determine whether a public body’s commercial arrangements constitutes State Aid, it is necessary to assess before any trans</w:t>
      </w:r>
      <w:r w:rsidR="00703D4B">
        <w:t xml:space="preserve">action is entered into </w:t>
      </w:r>
      <w:r w:rsidR="00B242C3">
        <w:t>whether</w:t>
      </w:r>
      <w:r w:rsidR="00703D4B">
        <w:t>, in similar circumstances, a private market economy would have been prepared to enter into the contract in question.</w:t>
      </w:r>
    </w:p>
    <w:p w:rsidR="00703D4B" w:rsidRDefault="00703D4B" w:rsidP="00254F5E">
      <w:pPr>
        <w:pStyle w:val="ListParagraph"/>
        <w:jc w:val="both"/>
      </w:pPr>
      <w:r>
        <w:lastRenderedPageBreak/>
        <w:t>In accordance with the Draft Guidance issued by the Commission, the Council has considered a price as determined via an estimate prepared by an independent quantity surveyor and a tender evaluation exercise informed by an independent quantity surveyor acting on its behalf, and is satisfied that the contract price is in line with market conditions and prices prevalent in the Oxfordshire.</w:t>
      </w:r>
    </w:p>
    <w:p w:rsidR="00CB770A" w:rsidRDefault="00CB770A" w:rsidP="00521EA1">
      <w:pPr>
        <w:pStyle w:val="ListParagraph"/>
        <w:jc w:val="both"/>
      </w:pPr>
      <w:r>
        <w:t xml:space="preserve">It is envisaged that the actual works would be awarded with an NEC 3 (Option 3 – with Bill of Quantities) contract. This is an appropriate form of contract for the type of work </w:t>
      </w:r>
      <w:r w:rsidR="00E21C5B">
        <w:t>necessary to deliver the park and ride extension.</w:t>
      </w:r>
      <w:r>
        <w:t xml:space="preserve"> </w:t>
      </w:r>
    </w:p>
    <w:p w:rsidR="002329CF" w:rsidRPr="001356F1" w:rsidRDefault="002329CF" w:rsidP="004A6D2F">
      <w:pPr>
        <w:pStyle w:val="Heading1"/>
      </w:pPr>
      <w:r w:rsidRPr="001356F1">
        <w:t>Level of risk</w:t>
      </w:r>
    </w:p>
    <w:p w:rsidR="00BC69A4" w:rsidRDefault="007F557B" w:rsidP="00C43304">
      <w:pPr>
        <w:pStyle w:val="ListParagraph"/>
        <w:jc w:val="both"/>
      </w:pPr>
      <w:r>
        <w:t>The timing of delivery for</w:t>
      </w:r>
      <w:r w:rsidR="00C27752">
        <w:t xml:space="preserve"> this scheme has been dependent on the programme for the proposed OFAS. Until relatively recently it was</w:t>
      </w:r>
      <w:r w:rsidR="00AA0E8B">
        <w:t xml:space="preserve"> unclear how OFAS would affect the proposed works to extend Seacourt Park &amp; Ride. It is now clear that the majority of the extension works can be completed prior to OFAS commencing on site, and that </w:t>
      </w:r>
      <w:r w:rsidR="003B37EB">
        <w:t xml:space="preserve">a </w:t>
      </w:r>
      <w:r w:rsidR="00AA0E8B">
        <w:t>relatively modest level of mitigation will be required. It is envisaged that any additional work and expenditure incurred by the Council</w:t>
      </w:r>
      <w:r w:rsidR="00C43304">
        <w:t xml:space="preserve"> as a result of OFAS</w:t>
      </w:r>
      <w:r w:rsidR="00AA0E8B">
        <w:t xml:space="preserve"> will be ref</w:t>
      </w:r>
      <w:r w:rsidR="000769ED">
        <w:t>unded by the Environment Agency. This risk is being mediated by an agreement between the Council and the Environment Agency, which is currently in the process of being finalised.</w:t>
      </w:r>
    </w:p>
    <w:p w:rsidR="000769ED" w:rsidRDefault="000769ED" w:rsidP="00C43304">
      <w:pPr>
        <w:pStyle w:val="ListParagraph"/>
        <w:jc w:val="both"/>
      </w:pPr>
      <w:r>
        <w:t>An obvious risk concerns the weather</w:t>
      </w:r>
      <w:r w:rsidR="00E753DD">
        <w:t xml:space="preserve">. As with all </w:t>
      </w:r>
      <w:r w:rsidR="00302C6F">
        <w:t>NEC3 contracts</w:t>
      </w:r>
      <w:r w:rsidR="00333DB0">
        <w:t xml:space="preserve"> the risk associated with</w:t>
      </w:r>
      <w:r w:rsidR="007C1BEB">
        <w:t xml:space="preserve"> adverse wea</w:t>
      </w:r>
      <w:r w:rsidR="00333DB0">
        <w:t>ther events lays with the employer, which in this case is the Council.</w:t>
      </w:r>
      <w:r w:rsidR="00C365B7">
        <w:t xml:space="preserve"> </w:t>
      </w:r>
      <w:r>
        <w:t>Th</w:t>
      </w:r>
      <w:r w:rsidR="00D75C10">
        <w:t xml:space="preserve">ese </w:t>
      </w:r>
      <w:r>
        <w:t>can only be mediated to some degree by taking the opportunity to compress the contractors programme where possible by, for example, work</w:t>
      </w:r>
      <w:r w:rsidR="002E60AB">
        <w:t>ing longer hours in dry periods, although scheme contingency could be drawn upon to the extent possible to offset thes</w:t>
      </w:r>
      <w:r w:rsidR="00C52D67">
        <w:t>e</w:t>
      </w:r>
      <w:r w:rsidR="002E60AB">
        <w:t xml:space="preserve"> additional costs</w:t>
      </w:r>
      <w:r w:rsidR="00C52D67">
        <w:t xml:space="preserve"> should </w:t>
      </w:r>
      <w:r w:rsidR="00D75C10">
        <w:t xml:space="preserve">they </w:t>
      </w:r>
      <w:r w:rsidR="00C52D67">
        <w:t>arise</w:t>
      </w:r>
      <w:r w:rsidR="002E60AB">
        <w:t>.</w:t>
      </w:r>
    </w:p>
    <w:p w:rsidR="000769ED" w:rsidRDefault="000769ED" w:rsidP="00C43304">
      <w:pPr>
        <w:pStyle w:val="ListParagraph"/>
        <w:jc w:val="both"/>
      </w:pPr>
      <w:r>
        <w:t xml:space="preserve">There are </w:t>
      </w:r>
      <w:r w:rsidR="00CA3C3A">
        <w:t xml:space="preserve">potential </w:t>
      </w:r>
      <w:r>
        <w:t>risks concerning ecology</w:t>
      </w:r>
      <w:r w:rsidR="005B32ED">
        <w:t xml:space="preserve">. </w:t>
      </w:r>
      <w:r>
        <w:t xml:space="preserve">To be clear the Council is obliged to have full regard to the relevant legislation here, including the </w:t>
      </w:r>
      <w:r w:rsidR="00703D4B">
        <w:t xml:space="preserve">Protection of </w:t>
      </w:r>
      <w:r>
        <w:t>Badger Act</w:t>
      </w:r>
      <w:r w:rsidR="00703D4B">
        <w:t xml:space="preserve"> 1992</w:t>
      </w:r>
      <w:r>
        <w:t>, and to proceed accordingly. Whilst appropriate mitigation works have already been undertaken on site, the services of an ec</w:t>
      </w:r>
      <w:r w:rsidR="007F557B">
        <w:t>o</w:t>
      </w:r>
      <w:r>
        <w:t xml:space="preserve">logist have been retained to provide advice, as </w:t>
      </w:r>
      <w:r w:rsidR="007F557B">
        <w:t xml:space="preserve">may be </w:t>
      </w:r>
      <w:r>
        <w:t>necessary</w:t>
      </w:r>
      <w:r w:rsidR="007F557B">
        <w:t>,</w:t>
      </w:r>
      <w:r w:rsidR="00703D4B">
        <w:t xml:space="preserve"> as the Council </w:t>
      </w:r>
      <w:r>
        <w:t>move</w:t>
      </w:r>
      <w:r w:rsidR="00703D4B">
        <w:t>s</w:t>
      </w:r>
      <w:r>
        <w:t xml:space="preserve"> forward. </w:t>
      </w:r>
    </w:p>
    <w:p w:rsidR="002E60AB" w:rsidRDefault="007F557B" w:rsidP="002E60AB">
      <w:pPr>
        <w:pStyle w:val="ListParagraph"/>
        <w:jc w:val="both"/>
      </w:pPr>
      <w:r>
        <w:t>As in any construction project there is</w:t>
      </w:r>
      <w:r w:rsidR="00CA3C3A">
        <w:t xml:space="preserve"> always the possibility that a</w:t>
      </w:r>
      <w:r>
        <w:t xml:space="preserve"> contractor either does not resource the job to the extent required or makes detailed changes to the scheme as it is built on site. This category of risks will be mediated by WYG who have been appointed to administer the contract on behalf of the Council (as client) and where provision has been made for them to have a sustained presence on site throughout the period of construction, allowing any potential issues to be dealt with efficiently.</w:t>
      </w:r>
    </w:p>
    <w:p w:rsidR="002329CF" w:rsidRPr="001356F1" w:rsidRDefault="002329CF" w:rsidP="0050321C">
      <w:pPr>
        <w:pStyle w:val="Heading1"/>
      </w:pPr>
      <w:r w:rsidRPr="001356F1">
        <w:t xml:space="preserve">Equalities impact </w:t>
      </w:r>
    </w:p>
    <w:p w:rsidR="002329CF" w:rsidRDefault="002E60AB" w:rsidP="002E60AB">
      <w:pPr>
        <w:pStyle w:val="ListParagraph"/>
        <w:jc w:val="both"/>
      </w:pPr>
      <w:r>
        <w:t>These matters were</w:t>
      </w:r>
      <w:r w:rsidR="00C27752">
        <w:t xml:space="preserve"> considered as part of the determination of the planning application which received t</w:t>
      </w:r>
      <w:r w:rsidR="00253B00">
        <w:t xml:space="preserve">he grant of consent </w:t>
      </w:r>
      <w:r w:rsidR="003B37EB">
        <w:t>o</w:t>
      </w:r>
      <w:r w:rsidR="00253B00">
        <w:t>n</w:t>
      </w:r>
      <w:r w:rsidR="003606FA">
        <w:t xml:space="preserve"> </w:t>
      </w:r>
      <w:r w:rsidR="003B37EB">
        <w:t>12</w:t>
      </w:r>
      <w:r w:rsidR="003606FA">
        <w:t>th</w:t>
      </w:r>
      <w:r w:rsidR="003B37EB">
        <w:t xml:space="preserve"> </w:t>
      </w:r>
      <w:r w:rsidR="00253B00">
        <w:t>March 2018. At a high level, the scheme provides for crossing points with dropped kerbs, a new customer building</w:t>
      </w:r>
      <w:r w:rsidR="00B675C9">
        <w:t xml:space="preserve"> incorporating a toilet for the disabled, a number of designated disabled car-parking spaces, appropriately designed and sited signage and new lighting.</w:t>
      </w:r>
      <w:r w:rsidR="004C3B57">
        <w:t xml:space="preserve"> The Council would however expect the recommended contractor to have regard to the provisions of the Equalit</w:t>
      </w:r>
      <w:r w:rsidR="003B37EB">
        <w:t>y</w:t>
      </w:r>
      <w:r w:rsidR="004C3B57">
        <w:t xml:space="preserve"> Act </w:t>
      </w:r>
      <w:r w:rsidR="003B37EB">
        <w:t xml:space="preserve">2010 </w:t>
      </w:r>
      <w:r w:rsidR="004C3B57">
        <w:t>at all times.</w:t>
      </w:r>
    </w:p>
    <w:p w:rsidR="00E87F7A" w:rsidRPr="001356F1" w:rsidRDefault="00E87F7A" w:rsidP="00E87F7A">
      <w:pPr>
        <w:pStyle w:val="Heading1"/>
      </w:pPr>
      <w:r w:rsidRPr="001356F1">
        <w:lastRenderedPageBreak/>
        <w:t>Conclusion</w:t>
      </w:r>
    </w:p>
    <w:p w:rsidR="00E206D6" w:rsidRDefault="001A41BE" w:rsidP="001A41BE">
      <w:pPr>
        <w:pStyle w:val="ListParagraph"/>
        <w:jc w:val="both"/>
      </w:pPr>
      <w:r>
        <w:t xml:space="preserve">The plans to extend the </w:t>
      </w:r>
      <w:r w:rsidR="002E6586">
        <w:t>Seacourt Park &amp; Ride facility (as modified</w:t>
      </w:r>
      <w:r>
        <w:t>) are little different to those which obt</w:t>
      </w:r>
      <w:r w:rsidR="00703D4B">
        <w:t>ained the grant of permission on 12th</w:t>
      </w:r>
      <w:r>
        <w:t xml:space="preserve"> March 2018. This report therefore confines itself to a request for final scheme approval and for permission to appoint a contractor to undertake the main-contract works. The recommended contractor is ODSL.</w:t>
      </w:r>
    </w:p>
    <w:p w:rsidR="00B242C3" w:rsidRDefault="00B242C3" w:rsidP="00B242C3">
      <w:pPr>
        <w:jc w:val="both"/>
      </w:pPr>
    </w:p>
    <w:p w:rsidR="00B242C3" w:rsidRPr="001356F1" w:rsidRDefault="00B242C3" w:rsidP="00B242C3">
      <w:pPr>
        <w:jc w:val="both"/>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F2588D">
        <w:trPr>
          <w:cantSplit/>
          <w:trHeight w:val="396"/>
        </w:trPr>
        <w:tc>
          <w:tcPr>
            <w:tcW w:w="3969" w:type="dxa"/>
            <w:tcBorders>
              <w:top w:val="single" w:sz="8" w:space="0" w:color="000000"/>
              <w:left w:val="single" w:sz="8" w:space="0" w:color="000000"/>
              <w:bottom w:val="single" w:sz="8" w:space="0" w:color="000000"/>
              <w:right w:val="nil"/>
            </w:tcBorders>
            <w:shd w:val="clear" w:color="auto" w:fill="DDD9C3" w:themeFill="background2" w:themeFillShade="E6"/>
          </w:tcPr>
          <w:p w:rsidR="00E87F7A" w:rsidRPr="001356F1" w:rsidRDefault="00E87F7A" w:rsidP="00A46E98">
            <w:pPr>
              <w:rPr>
                <w:b/>
              </w:rPr>
            </w:pPr>
            <w:r w:rsidRPr="001356F1">
              <w:rPr>
                <w:b/>
              </w:rPr>
              <w:t>Report author</w:t>
            </w:r>
            <w:r w:rsidR="00F2588D">
              <w:rPr>
                <w:b/>
              </w:rPr>
              <w:t>s</w:t>
            </w:r>
          </w:p>
        </w:tc>
        <w:tc>
          <w:tcPr>
            <w:tcW w:w="4962" w:type="dxa"/>
            <w:tcBorders>
              <w:top w:val="single" w:sz="8" w:space="0" w:color="000000"/>
              <w:left w:val="nil"/>
              <w:bottom w:val="single" w:sz="8" w:space="0" w:color="000000"/>
              <w:right w:val="single" w:sz="8" w:space="0" w:color="000000"/>
            </w:tcBorders>
            <w:shd w:val="clear" w:color="auto" w:fill="DDD9C3" w:themeFill="background2" w:themeFillShade="E6"/>
          </w:tcPr>
          <w:p w:rsidR="00E87F7A" w:rsidRPr="001356F1" w:rsidRDefault="007F557B" w:rsidP="00A46E98">
            <w:r>
              <w:t>Paul Walker</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204578" w:rsidP="00A46E98">
            <w:r>
              <w:t>Interim Project Director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204578" w:rsidP="00A46E98">
            <w:r>
              <w:t>Regeneration &amp; Economy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A46E98">
            <w:r w:rsidRPr="001356F1">
              <w:t xml:space="preserve">01865 </w:t>
            </w:r>
            <w:r w:rsidR="003D5B3F">
              <w:t>252354</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204578" w:rsidP="00A46E98">
            <w:pPr>
              <w:rPr>
                <w:rStyle w:val="Hyperlink"/>
                <w:color w:val="000000"/>
              </w:rPr>
            </w:pPr>
            <w:r>
              <w:rPr>
                <w:rStyle w:val="Hyperlink"/>
                <w:color w:val="000000"/>
              </w:rPr>
              <w:t>Pwalker2@oxford.gov.uk</w:t>
            </w:r>
          </w:p>
        </w:tc>
      </w:tr>
    </w:tbl>
    <w:p w:rsidR="00433B96" w:rsidRPr="001356F1" w:rsidRDefault="00433B96" w:rsidP="004A6D2F"/>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
        <w:gridCol w:w="8580"/>
      </w:tblGrid>
      <w:tr w:rsidR="00DF093E" w:rsidRPr="001356F1" w:rsidTr="002E6586">
        <w:trPr>
          <w:trHeight w:val="696"/>
        </w:trPr>
        <w:tc>
          <w:tcPr>
            <w:tcW w:w="8931" w:type="dxa"/>
            <w:gridSpan w:val="2"/>
            <w:tcBorders>
              <w:top w:val="single" w:sz="4" w:space="0" w:color="auto"/>
              <w:left w:val="single" w:sz="4" w:space="0" w:color="auto"/>
              <w:bottom w:val="single" w:sz="8" w:space="0" w:color="000000"/>
              <w:right w:val="single" w:sz="4" w:space="0" w:color="auto"/>
            </w:tcBorders>
            <w:shd w:val="clear" w:color="auto" w:fill="DDD9C3" w:themeFill="background2" w:themeFillShade="E6"/>
          </w:tcPr>
          <w:p w:rsidR="0093067A" w:rsidRPr="001356F1" w:rsidRDefault="00182B81" w:rsidP="002E6586">
            <w:r w:rsidRPr="001356F1">
              <w:rPr>
                <w:rStyle w:val="Firstpagetablebold"/>
              </w:rPr>
              <w:t xml:space="preserve">Background Papers: </w:t>
            </w:r>
          </w:p>
        </w:tc>
      </w:tr>
      <w:tr w:rsidR="00DF093E" w:rsidRPr="001356F1" w:rsidTr="002E6586">
        <w:tc>
          <w:tcPr>
            <w:tcW w:w="351" w:type="dxa"/>
            <w:tcBorders>
              <w:top w:val="single" w:sz="8" w:space="0" w:color="000000"/>
              <w:left w:val="single" w:sz="8" w:space="0" w:color="000000"/>
              <w:bottom w:val="nil"/>
              <w:right w:val="nil"/>
            </w:tcBorders>
            <w:shd w:val="clear" w:color="auto" w:fill="auto"/>
          </w:tcPr>
          <w:p w:rsidR="0093067A" w:rsidRPr="001356F1" w:rsidRDefault="0093067A" w:rsidP="002E6586"/>
        </w:tc>
        <w:tc>
          <w:tcPr>
            <w:tcW w:w="8580" w:type="dxa"/>
            <w:tcBorders>
              <w:top w:val="single" w:sz="8" w:space="0" w:color="000000"/>
              <w:left w:val="nil"/>
              <w:bottom w:val="nil"/>
              <w:right w:val="single" w:sz="8" w:space="0" w:color="000000"/>
            </w:tcBorders>
          </w:tcPr>
          <w:p w:rsidR="0093067A" w:rsidRPr="001356F1" w:rsidRDefault="0093067A" w:rsidP="002E6586">
            <w:pPr>
              <w:pStyle w:val="ListParagraph"/>
              <w:numPr>
                <w:ilvl w:val="0"/>
                <w:numId w:val="0"/>
              </w:numPr>
              <w:ind w:left="720"/>
            </w:pPr>
          </w:p>
        </w:tc>
      </w:tr>
      <w:tr w:rsidR="00DF093E" w:rsidRPr="001356F1" w:rsidTr="002E6586">
        <w:tc>
          <w:tcPr>
            <w:tcW w:w="351" w:type="dxa"/>
            <w:tcBorders>
              <w:top w:val="nil"/>
              <w:left w:val="single" w:sz="8" w:space="0" w:color="000000"/>
              <w:bottom w:val="nil"/>
              <w:right w:val="nil"/>
            </w:tcBorders>
            <w:shd w:val="clear" w:color="auto" w:fill="auto"/>
          </w:tcPr>
          <w:p w:rsidR="0093067A" w:rsidRPr="001356F1" w:rsidRDefault="0093067A" w:rsidP="002E6586"/>
        </w:tc>
        <w:tc>
          <w:tcPr>
            <w:tcW w:w="8580" w:type="dxa"/>
            <w:tcBorders>
              <w:top w:val="nil"/>
              <w:left w:val="nil"/>
              <w:bottom w:val="nil"/>
              <w:right w:val="single" w:sz="8" w:space="0" w:color="000000"/>
            </w:tcBorders>
          </w:tcPr>
          <w:p w:rsidR="0093067A" w:rsidRPr="001356F1" w:rsidRDefault="0093067A" w:rsidP="002E6586">
            <w:bookmarkStart w:id="0" w:name="_GoBack"/>
            <w:bookmarkEnd w:id="0"/>
          </w:p>
        </w:tc>
      </w:tr>
      <w:tr w:rsidR="00DF093E" w:rsidRPr="001356F1" w:rsidTr="002E6586">
        <w:tc>
          <w:tcPr>
            <w:tcW w:w="351" w:type="dxa"/>
            <w:tcBorders>
              <w:top w:val="nil"/>
              <w:left w:val="single" w:sz="8" w:space="0" w:color="000000"/>
              <w:bottom w:val="nil"/>
              <w:right w:val="nil"/>
            </w:tcBorders>
            <w:shd w:val="clear" w:color="auto" w:fill="auto"/>
          </w:tcPr>
          <w:p w:rsidR="0093067A" w:rsidRPr="001356F1" w:rsidRDefault="0093067A" w:rsidP="002E6586"/>
        </w:tc>
        <w:tc>
          <w:tcPr>
            <w:tcW w:w="8580" w:type="dxa"/>
            <w:tcBorders>
              <w:top w:val="nil"/>
              <w:left w:val="nil"/>
              <w:bottom w:val="nil"/>
              <w:right w:val="single" w:sz="8" w:space="0" w:color="000000"/>
            </w:tcBorders>
          </w:tcPr>
          <w:p w:rsidR="002E6586" w:rsidRPr="001356F1" w:rsidRDefault="002E6586" w:rsidP="00296221">
            <w:pPr>
              <w:ind w:left="360" w:hanging="360"/>
            </w:pPr>
          </w:p>
        </w:tc>
      </w:tr>
      <w:tr w:rsidR="005570B5" w:rsidRPr="00A46E98" w:rsidTr="002E6586">
        <w:trPr>
          <w:trHeight w:val="1353"/>
        </w:trPr>
        <w:tc>
          <w:tcPr>
            <w:tcW w:w="351" w:type="dxa"/>
            <w:tcBorders>
              <w:top w:val="nil"/>
              <w:left w:val="single" w:sz="8" w:space="0" w:color="000000"/>
              <w:bottom w:val="single" w:sz="8" w:space="0" w:color="000000"/>
              <w:right w:val="nil"/>
            </w:tcBorders>
            <w:shd w:val="clear" w:color="auto" w:fill="auto"/>
          </w:tcPr>
          <w:p w:rsidR="0093067A" w:rsidRPr="00A46E98" w:rsidRDefault="0093067A" w:rsidP="002E6586"/>
        </w:tc>
        <w:tc>
          <w:tcPr>
            <w:tcW w:w="8580" w:type="dxa"/>
            <w:tcBorders>
              <w:top w:val="nil"/>
              <w:left w:val="nil"/>
              <w:bottom w:val="single" w:sz="8" w:space="0" w:color="000000"/>
              <w:right w:val="single" w:sz="8" w:space="0" w:color="000000"/>
            </w:tcBorders>
          </w:tcPr>
          <w:p w:rsidR="003D5B3F" w:rsidRDefault="00253B00" w:rsidP="002E6586">
            <w:pPr>
              <w:pStyle w:val="ListParagraph"/>
              <w:numPr>
                <w:ilvl w:val="0"/>
                <w:numId w:val="44"/>
              </w:numPr>
            </w:pPr>
            <w:r>
              <w:t>Seacourt Park &amp; Ride Extension – Draft NEC3 Contract, OCC</w:t>
            </w:r>
            <w:r w:rsidR="00703D4B">
              <w:t xml:space="preserve"> (Exempt</w:t>
            </w:r>
            <w:r w:rsidR="003D5B3F">
              <w:t xml:space="preserve"> information</w:t>
            </w:r>
            <w:r w:rsidR="00F2588D">
              <w:t>).</w:t>
            </w:r>
          </w:p>
          <w:p w:rsidR="003D5B3F" w:rsidRDefault="003D5B3F" w:rsidP="002E6586">
            <w:pPr>
              <w:pStyle w:val="ListParagraph"/>
              <w:numPr>
                <w:ilvl w:val="0"/>
                <w:numId w:val="43"/>
              </w:numPr>
            </w:pPr>
            <w:r>
              <w:t>Seacourt Park &amp; Ride Extension, D</w:t>
            </w:r>
            <w:r w:rsidR="002E6586">
              <w:t xml:space="preserve">ue Diligence Tender Review, WYG </w:t>
            </w:r>
            <w:r>
              <w:t>(Exempt information).</w:t>
            </w:r>
          </w:p>
          <w:p w:rsidR="003D5B3F" w:rsidRDefault="003D5B3F" w:rsidP="002E6586">
            <w:pPr>
              <w:pStyle w:val="ListParagraph"/>
              <w:numPr>
                <w:ilvl w:val="0"/>
                <w:numId w:val="0"/>
              </w:numPr>
              <w:ind w:left="720"/>
            </w:pPr>
          </w:p>
          <w:p w:rsidR="003D5B3F" w:rsidRPr="00A46E98" w:rsidRDefault="003D5B3F" w:rsidP="002E6586">
            <w:pPr>
              <w:pStyle w:val="ListParagraph"/>
              <w:numPr>
                <w:ilvl w:val="0"/>
                <w:numId w:val="0"/>
              </w:numPr>
              <w:ind w:left="360"/>
            </w:pPr>
          </w:p>
        </w:tc>
      </w:tr>
    </w:tbl>
    <w:p w:rsidR="00B242C3" w:rsidRDefault="00B242C3" w:rsidP="00B242C3">
      <w:pPr>
        <w:jc w:val="right"/>
        <w:rPr>
          <w:b/>
        </w:rPr>
      </w:pPr>
      <w:r>
        <w:rPr>
          <w:b/>
        </w:rPr>
        <w:br w:type="textWrapping" w:clear="all"/>
      </w:r>
    </w:p>
    <w:p w:rsidR="00B242C3" w:rsidRDefault="00B242C3" w:rsidP="00B242C3">
      <w:pPr>
        <w:jc w:val="right"/>
        <w:rPr>
          <w:b/>
        </w:rPr>
      </w:pPr>
    </w:p>
    <w:p w:rsidR="00B242C3" w:rsidRDefault="00B242C3" w:rsidP="00B242C3">
      <w:pPr>
        <w:jc w:val="right"/>
        <w:rPr>
          <w:b/>
        </w:rPr>
      </w:pPr>
    </w:p>
    <w:p w:rsidR="00B242C3" w:rsidRDefault="00B242C3" w:rsidP="00B242C3">
      <w:pPr>
        <w:jc w:val="right"/>
        <w:rPr>
          <w:b/>
        </w:rPr>
      </w:pPr>
    </w:p>
    <w:p w:rsidR="00B242C3" w:rsidRDefault="00B242C3" w:rsidP="00B242C3">
      <w:pPr>
        <w:jc w:val="right"/>
        <w:rPr>
          <w:b/>
        </w:rPr>
      </w:pPr>
    </w:p>
    <w:p w:rsidR="00B242C3" w:rsidRDefault="00B242C3" w:rsidP="00B242C3">
      <w:pPr>
        <w:jc w:val="right"/>
        <w:rPr>
          <w:b/>
        </w:rPr>
      </w:pPr>
    </w:p>
    <w:p w:rsidR="00B242C3" w:rsidRDefault="00B242C3" w:rsidP="00B242C3">
      <w:pPr>
        <w:jc w:val="right"/>
        <w:rPr>
          <w:b/>
        </w:rPr>
      </w:pPr>
    </w:p>
    <w:p w:rsidR="00B242C3" w:rsidRDefault="00B242C3" w:rsidP="00B242C3">
      <w:pPr>
        <w:jc w:val="right"/>
        <w:rPr>
          <w:b/>
        </w:rPr>
      </w:pPr>
    </w:p>
    <w:p w:rsidR="00B242C3" w:rsidRDefault="00B242C3" w:rsidP="003A621A">
      <w:pPr>
        <w:rPr>
          <w:b/>
        </w:rPr>
      </w:pPr>
    </w:p>
    <w:sectPr w:rsidR="00B242C3"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33" w:rsidRDefault="00503C33" w:rsidP="004A6D2F">
      <w:r>
        <w:separator/>
      </w:r>
    </w:p>
  </w:endnote>
  <w:endnote w:type="continuationSeparator" w:id="0">
    <w:p w:rsidR="00503C33" w:rsidRDefault="00503C33"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33" w:rsidRDefault="00503C33" w:rsidP="004A6D2F">
      <w:r>
        <w:separator/>
      </w:r>
    </w:p>
  </w:footnote>
  <w:footnote w:type="continuationSeparator" w:id="0">
    <w:p w:rsidR="00503C33" w:rsidRDefault="00503C33"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230F1F" w:rsidP="00D5547E">
    <w:pPr>
      <w:pStyle w:val="Header"/>
      <w:jc w:val="right"/>
    </w:pPr>
    <w:r>
      <w:rPr>
        <w:noProof/>
      </w:rPr>
      <w:drawing>
        <wp:inline distT="0" distB="0" distL="0" distR="0" wp14:anchorId="69A1ADB9" wp14:editId="7A92878B">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D171E7"/>
    <w:multiLevelType w:val="hybridMultilevel"/>
    <w:tmpl w:val="E55EC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5F81E55"/>
    <w:multiLevelType w:val="hybridMultilevel"/>
    <w:tmpl w:val="B1BCE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FD51E09"/>
    <w:multiLevelType w:val="hybridMultilevel"/>
    <w:tmpl w:val="FC9A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47B74F2"/>
    <w:multiLevelType w:val="hybridMultilevel"/>
    <w:tmpl w:val="599C0D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503AF0"/>
    <w:multiLevelType w:val="hybridMultilevel"/>
    <w:tmpl w:val="B50A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552AB9"/>
    <w:multiLevelType w:val="hybridMultilevel"/>
    <w:tmpl w:val="A6F242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922D68"/>
    <w:multiLevelType w:val="hybridMultilevel"/>
    <w:tmpl w:val="44D6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BA5FD8"/>
    <w:multiLevelType w:val="multilevel"/>
    <w:tmpl w:val="43D6D2FA"/>
    <w:numStyleLink w:val="StyleBulletedSymbolsymbolLeft063cmHanging063cm"/>
  </w:abstractNum>
  <w:abstractNum w:abstractNumId="34">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22831"/>
    <w:multiLevelType w:val="multilevel"/>
    <w:tmpl w:val="43D6D2FA"/>
    <w:numStyleLink w:val="StyleBulletedSymbolsymbolLeft063cmHanging063cm"/>
  </w:abstractNum>
  <w:abstractNum w:abstractNumId="36">
    <w:nsid w:val="65425298"/>
    <w:multiLevelType w:val="hybridMultilevel"/>
    <w:tmpl w:val="611262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072251B"/>
    <w:multiLevelType w:val="hybridMultilevel"/>
    <w:tmpl w:val="75A018D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1">
    <w:nsid w:val="798365C6"/>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A4611D2"/>
    <w:multiLevelType w:val="hybridMultilevel"/>
    <w:tmpl w:val="C9FC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A56FB5"/>
    <w:multiLevelType w:val="hybridMultilevel"/>
    <w:tmpl w:val="7182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535ABB"/>
    <w:multiLevelType w:val="hybridMultilevel"/>
    <w:tmpl w:val="2446E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28"/>
  </w:num>
  <w:num w:numId="4">
    <w:abstractNumId w:val="22"/>
  </w:num>
  <w:num w:numId="5">
    <w:abstractNumId w:val="34"/>
  </w:num>
  <w:num w:numId="6">
    <w:abstractNumId w:val="39"/>
  </w:num>
  <w:num w:numId="7">
    <w:abstractNumId w:val="27"/>
  </w:num>
  <w:num w:numId="8">
    <w:abstractNumId w:val="25"/>
  </w:num>
  <w:num w:numId="9">
    <w:abstractNumId w:val="15"/>
  </w:num>
  <w:num w:numId="10">
    <w:abstractNumId w:val="19"/>
  </w:num>
  <w:num w:numId="11">
    <w:abstractNumId w:val="31"/>
  </w:num>
  <w:num w:numId="12">
    <w:abstractNumId w:val="29"/>
  </w:num>
  <w:num w:numId="13">
    <w:abstractNumId w:val="11"/>
  </w:num>
  <w:num w:numId="14">
    <w:abstractNumId w:val="41"/>
  </w:num>
  <w:num w:numId="15">
    <w:abstractNumId w:val="20"/>
  </w:num>
  <w:num w:numId="16">
    <w:abstractNumId w:val="12"/>
  </w:num>
  <w:num w:numId="17">
    <w:abstractNumId w:val="33"/>
  </w:num>
  <w:num w:numId="18">
    <w:abstractNumId w:val="13"/>
  </w:num>
  <w:num w:numId="19">
    <w:abstractNumId w:val="35"/>
  </w:num>
  <w:num w:numId="20">
    <w:abstractNumId w:val="21"/>
  </w:num>
  <w:num w:numId="21">
    <w:abstractNumId w:val="26"/>
  </w:num>
  <w:num w:numId="22">
    <w:abstractNumId w:val="16"/>
  </w:num>
  <w:num w:numId="23">
    <w:abstractNumId w:val="37"/>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4"/>
  </w:num>
  <w:num w:numId="35">
    <w:abstractNumId w:val="36"/>
  </w:num>
  <w:num w:numId="36">
    <w:abstractNumId w:val="24"/>
  </w:num>
  <w:num w:numId="37">
    <w:abstractNumId w:val="18"/>
  </w:num>
  <w:num w:numId="38">
    <w:abstractNumId w:val="40"/>
  </w:num>
  <w:num w:numId="39">
    <w:abstractNumId w:val="44"/>
  </w:num>
  <w:num w:numId="40">
    <w:abstractNumId w:val="10"/>
  </w:num>
  <w:num w:numId="41">
    <w:abstractNumId w:val="43"/>
  </w:num>
  <w:num w:numId="42">
    <w:abstractNumId w:val="17"/>
  </w:num>
  <w:num w:numId="43">
    <w:abstractNumId w:val="23"/>
  </w:num>
  <w:num w:numId="44">
    <w:abstractNumId w:val="42"/>
  </w:num>
  <w:num w:numId="45">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1F"/>
    <w:rsid w:val="000117D4"/>
    <w:rsid w:val="000314D7"/>
    <w:rsid w:val="000336C0"/>
    <w:rsid w:val="00040B94"/>
    <w:rsid w:val="000438B3"/>
    <w:rsid w:val="00045881"/>
    <w:rsid w:val="00045F8B"/>
    <w:rsid w:val="00046D2B"/>
    <w:rsid w:val="00050124"/>
    <w:rsid w:val="00056263"/>
    <w:rsid w:val="00064D8A"/>
    <w:rsid w:val="00064F82"/>
    <w:rsid w:val="00066510"/>
    <w:rsid w:val="000769ED"/>
    <w:rsid w:val="00077523"/>
    <w:rsid w:val="0008244D"/>
    <w:rsid w:val="000C089F"/>
    <w:rsid w:val="000C3928"/>
    <w:rsid w:val="000C5E8E"/>
    <w:rsid w:val="000F297C"/>
    <w:rsid w:val="000F4751"/>
    <w:rsid w:val="0010524C"/>
    <w:rsid w:val="00111FB1"/>
    <w:rsid w:val="00113418"/>
    <w:rsid w:val="001208A7"/>
    <w:rsid w:val="001356F1"/>
    <w:rsid w:val="00136994"/>
    <w:rsid w:val="0014128E"/>
    <w:rsid w:val="00151888"/>
    <w:rsid w:val="00155723"/>
    <w:rsid w:val="00170A2D"/>
    <w:rsid w:val="001808BC"/>
    <w:rsid w:val="00182B81"/>
    <w:rsid w:val="0018619D"/>
    <w:rsid w:val="001A011E"/>
    <w:rsid w:val="001A066A"/>
    <w:rsid w:val="001A13E6"/>
    <w:rsid w:val="001A41BE"/>
    <w:rsid w:val="001A5731"/>
    <w:rsid w:val="001B42C3"/>
    <w:rsid w:val="001B7D26"/>
    <w:rsid w:val="001C5D5E"/>
    <w:rsid w:val="001D494F"/>
    <w:rsid w:val="001D678D"/>
    <w:rsid w:val="001E03F8"/>
    <w:rsid w:val="001E1678"/>
    <w:rsid w:val="001E3376"/>
    <w:rsid w:val="001F53A5"/>
    <w:rsid w:val="001F7B4F"/>
    <w:rsid w:val="00201BE2"/>
    <w:rsid w:val="0020381C"/>
    <w:rsid w:val="00204578"/>
    <w:rsid w:val="002069B3"/>
    <w:rsid w:val="002240C4"/>
    <w:rsid w:val="00230F1F"/>
    <w:rsid w:val="002329CF"/>
    <w:rsid w:val="00232F5B"/>
    <w:rsid w:val="00247C29"/>
    <w:rsid w:val="00253B00"/>
    <w:rsid w:val="00254F5E"/>
    <w:rsid w:val="00260467"/>
    <w:rsid w:val="00263EA3"/>
    <w:rsid w:val="00284F85"/>
    <w:rsid w:val="00290915"/>
    <w:rsid w:val="00290C88"/>
    <w:rsid w:val="00296221"/>
    <w:rsid w:val="002A22E2"/>
    <w:rsid w:val="002C64F7"/>
    <w:rsid w:val="002E28B6"/>
    <w:rsid w:val="002E60AB"/>
    <w:rsid w:val="002E6586"/>
    <w:rsid w:val="002F32EC"/>
    <w:rsid w:val="002F41F2"/>
    <w:rsid w:val="00300929"/>
    <w:rsid w:val="00301BF3"/>
    <w:rsid w:val="0030208D"/>
    <w:rsid w:val="00302C6F"/>
    <w:rsid w:val="003071B7"/>
    <w:rsid w:val="00322F4E"/>
    <w:rsid w:val="00323418"/>
    <w:rsid w:val="00330012"/>
    <w:rsid w:val="00333DB0"/>
    <w:rsid w:val="003357BF"/>
    <w:rsid w:val="003606FA"/>
    <w:rsid w:val="00364FAD"/>
    <w:rsid w:val="0036738F"/>
    <w:rsid w:val="0036759C"/>
    <w:rsid w:val="00367AE5"/>
    <w:rsid w:val="00367D71"/>
    <w:rsid w:val="0038150A"/>
    <w:rsid w:val="003A621A"/>
    <w:rsid w:val="003B37EB"/>
    <w:rsid w:val="003B4FB4"/>
    <w:rsid w:val="003B6E75"/>
    <w:rsid w:val="003B7DA1"/>
    <w:rsid w:val="003D0379"/>
    <w:rsid w:val="003D2574"/>
    <w:rsid w:val="003D4C59"/>
    <w:rsid w:val="003D5B3F"/>
    <w:rsid w:val="003D7B68"/>
    <w:rsid w:val="003F4267"/>
    <w:rsid w:val="00404032"/>
    <w:rsid w:val="0040736F"/>
    <w:rsid w:val="00412C1F"/>
    <w:rsid w:val="00421CB2"/>
    <w:rsid w:val="004268B9"/>
    <w:rsid w:val="00432C4B"/>
    <w:rsid w:val="00433B96"/>
    <w:rsid w:val="004440F1"/>
    <w:rsid w:val="004456DD"/>
    <w:rsid w:val="00446CDF"/>
    <w:rsid w:val="004521B7"/>
    <w:rsid w:val="00454F83"/>
    <w:rsid w:val="00462AB5"/>
    <w:rsid w:val="00465EAF"/>
    <w:rsid w:val="004738C5"/>
    <w:rsid w:val="004738DC"/>
    <w:rsid w:val="00491046"/>
    <w:rsid w:val="004A2AC7"/>
    <w:rsid w:val="004A6D2F"/>
    <w:rsid w:val="004C2887"/>
    <w:rsid w:val="004C3B57"/>
    <w:rsid w:val="004D2626"/>
    <w:rsid w:val="004D6E26"/>
    <w:rsid w:val="004D77D3"/>
    <w:rsid w:val="004E19F2"/>
    <w:rsid w:val="004E2959"/>
    <w:rsid w:val="004F20EF"/>
    <w:rsid w:val="0050321C"/>
    <w:rsid w:val="00503C33"/>
    <w:rsid w:val="00507E66"/>
    <w:rsid w:val="00513F44"/>
    <w:rsid w:val="00521EA1"/>
    <w:rsid w:val="0054712D"/>
    <w:rsid w:val="00547EF6"/>
    <w:rsid w:val="005570B5"/>
    <w:rsid w:val="00567E18"/>
    <w:rsid w:val="00575F5F"/>
    <w:rsid w:val="00581805"/>
    <w:rsid w:val="00585F76"/>
    <w:rsid w:val="005908E0"/>
    <w:rsid w:val="005A34E4"/>
    <w:rsid w:val="005A7B93"/>
    <w:rsid w:val="005B17F2"/>
    <w:rsid w:val="005B32ED"/>
    <w:rsid w:val="005B7FB0"/>
    <w:rsid w:val="005C35A5"/>
    <w:rsid w:val="005C577C"/>
    <w:rsid w:val="005D0621"/>
    <w:rsid w:val="005D1E27"/>
    <w:rsid w:val="005D2A3E"/>
    <w:rsid w:val="005E022E"/>
    <w:rsid w:val="005E5215"/>
    <w:rsid w:val="005F7F7E"/>
    <w:rsid w:val="00614693"/>
    <w:rsid w:val="00623C2F"/>
    <w:rsid w:val="00633578"/>
    <w:rsid w:val="006338CA"/>
    <w:rsid w:val="00637068"/>
    <w:rsid w:val="00640DCF"/>
    <w:rsid w:val="00650811"/>
    <w:rsid w:val="00661D3E"/>
    <w:rsid w:val="00686B8D"/>
    <w:rsid w:val="00692627"/>
    <w:rsid w:val="006928A8"/>
    <w:rsid w:val="006969E7"/>
    <w:rsid w:val="006A2315"/>
    <w:rsid w:val="006A3643"/>
    <w:rsid w:val="006B612C"/>
    <w:rsid w:val="006B7997"/>
    <w:rsid w:val="006C2A29"/>
    <w:rsid w:val="006C433C"/>
    <w:rsid w:val="006C64CF"/>
    <w:rsid w:val="006D0F43"/>
    <w:rsid w:val="006D17B1"/>
    <w:rsid w:val="006D4752"/>
    <w:rsid w:val="006D708A"/>
    <w:rsid w:val="006E14C1"/>
    <w:rsid w:val="006E5A61"/>
    <w:rsid w:val="006E5E8B"/>
    <w:rsid w:val="006F0292"/>
    <w:rsid w:val="006F27FA"/>
    <w:rsid w:val="006F416B"/>
    <w:rsid w:val="006F519B"/>
    <w:rsid w:val="00703D4B"/>
    <w:rsid w:val="00713675"/>
    <w:rsid w:val="00715823"/>
    <w:rsid w:val="007175FF"/>
    <w:rsid w:val="00737B93"/>
    <w:rsid w:val="00745BF0"/>
    <w:rsid w:val="00746ECA"/>
    <w:rsid w:val="0075337C"/>
    <w:rsid w:val="00760CCA"/>
    <w:rsid w:val="007615FE"/>
    <w:rsid w:val="00764D0B"/>
    <w:rsid w:val="0076655C"/>
    <w:rsid w:val="007742DC"/>
    <w:rsid w:val="00791437"/>
    <w:rsid w:val="007A1049"/>
    <w:rsid w:val="007B0C2C"/>
    <w:rsid w:val="007B1244"/>
    <w:rsid w:val="007B278E"/>
    <w:rsid w:val="007C1BEB"/>
    <w:rsid w:val="007C5C23"/>
    <w:rsid w:val="007E1302"/>
    <w:rsid w:val="007E2A26"/>
    <w:rsid w:val="007F2348"/>
    <w:rsid w:val="007F557B"/>
    <w:rsid w:val="00803F07"/>
    <w:rsid w:val="00805455"/>
    <w:rsid w:val="0080749A"/>
    <w:rsid w:val="0081493E"/>
    <w:rsid w:val="00821FB8"/>
    <w:rsid w:val="00822ACD"/>
    <w:rsid w:val="00855C66"/>
    <w:rsid w:val="00871EE4"/>
    <w:rsid w:val="00895E9E"/>
    <w:rsid w:val="008A080B"/>
    <w:rsid w:val="008B293F"/>
    <w:rsid w:val="008B6594"/>
    <w:rsid w:val="008B7087"/>
    <w:rsid w:val="008B7371"/>
    <w:rsid w:val="008D3DDB"/>
    <w:rsid w:val="008F573F"/>
    <w:rsid w:val="00900EB0"/>
    <w:rsid w:val="009034EC"/>
    <w:rsid w:val="009044D5"/>
    <w:rsid w:val="0091171D"/>
    <w:rsid w:val="0093067A"/>
    <w:rsid w:val="00934FEA"/>
    <w:rsid w:val="00941C60"/>
    <w:rsid w:val="00966D42"/>
    <w:rsid w:val="00971689"/>
    <w:rsid w:val="00973E90"/>
    <w:rsid w:val="00975B07"/>
    <w:rsid w:val="00980B4A"/>
    <w:rsid w:val="009A56A1"/>
    <w:rsid w:val="009B7850"/>
    <w:rsid w:val="009D4B1E"/>
    <w:rsid w:val="009E3D0A"/>
    <w:rsid w:val="009E51FC"/>
    <w:rsid w:val="009F1D28"/>
    <w:rsid w:val="009F7618"/>
    <w:rsid w:val="00A00A89"/>
    <w:rsid w:val="00A04D23"/>
    <w:rsid w:val="00A06766"/>
    <w:rsid w:val="00A13765"/>
    <w:rsid w:val="00A13B3F"/>
    <w:rsid w:val="00A165CD"/>
    <w:rsid w:val="00A21B12"/>
    <w:rsid w:val="00A23F80"/>
    <w:rsid w:val="00A34300"/>
    <w:rsid w:val="00A46E98"/>
    <w:rsid w:val="00A6352B"/>
    <w:rsid w:val="00A701B5"/>
    <w:rsid w:val="00A714BB"/>
    <w:rsid w:val="00A92D8F"/>
    <w:rsid w:val="00AA0E8B"/>
    <w:rsid w:val="00AB0296"/>
    <w:rsid w:val="00AB2988"/>
    <w:rsid w:val="00AB7999"/>
    <w:rsid w:val="00AC1951"/>
    <w:rsid w:val="00AD3292"/>
    <w:rsid w:val="00AE7AF0"/>
    <w:rsid w:val="00B07493"/>
    <w:rsid w:val="00B242C3"/>
    <w:rsid w:val="00B45CBA"/>
    <w:rsid w:val="00B500CA"/>
    <w:rsid w:val="00B675C9"/>
    <w:rsid w:val="00B85F79"/>
    <w:rsid w:val="00B86314"/>
    <w:rsid w:val="00B920BA"/>
    <w:rsid w:val="00B97352"/>
    <w:rsid w:val="00BA1C2E"/>
    <w:rsid w:val="00BB50C0"/>
    <w:rsid w:val="00BC200B"/>
    <w:rsid w:val="00BC21CA"/>
    <w:rsid w:val="00BC4756"/>
    <w:rsid w:val="00BC69A4"/>
    <w:rsid w:val="00BD0403"/>
    <w:rsid w:val="00BD4D57"/>
    <w:rsid w:val="00BE0680"/>
    <w:rsid w:val="00BE15EF"/>
    <w:rsid w:val="00BE305F"/>
    <w:rsid w:val="00BE467E"/>
    <w:rsid w:val="00BE7BA3"/>
    <w:rsid w:val="00BF0830"/>
    <w:rsid w:val="00BF5682"/>
    <w:rsid w:val="00BF7B09"/>
    <w:rsid w:val="00C20A95"/>
    <w:rsid w:val="00C2692F"/>
    <w:rsid w:val="00C27752"/>
    <w:rsid w:val="00C3207C"/>
    <w:rsid w:val="00C365B7"/>
    <w:rsid w:val="00C400E1"/>
    <w:rsid w:val="00C41187"/>
    <w:rsid w:val="00C43304"/>
    <w:rsid w:val="00C52D67"/>
    <w:rsid w:val="00C63C31"/>
    <w:rsid w:val="00C757A0"/>
    <w:rsid w:val="00C760DE"/>
    <w:rsid w:val="00C82630"/>
    <w:rsid w:val="00C85B4E"/>
    <w:rsid w:val="00C907F7"/>
    <w:rsid w:val="00CA2103"/>
    <w:rsid w:val="00CA3C3A"/>
    <w:rsid w:val="00CB6B99"/>
    <w:rsid w:val="00CB770A"/>
    <w:rsid w:val="00CE4C87"/>
    <w:rsid w:val="00CE544A"/>
    <w:rsid w:val="00D11E1C"/>
    <w:rsid w:val="00D160B0"/>
    <w:rsid w:val="00D17F94"/>
    <w:rsid w:val="00D223FC"/>
    <w:rsid w:val="00D26D1E"/>
    <w:rsid w:val="00D34D2F"/>
    <w:rsid w:val="00D35312"/>
    <w:rsid w:val="00D368B5"/>
    <w:rsid w:val="00D474CF"/>
    <w:rsid w:val="00D5547E"/>
    <w:rsid w:val="00D56C10"/>
    <w:rsid w:val="00D60F2D"/>
    <w:rsid w:val="00D75C10"/>
    <w:rsid w:val="00D8271C"/>
    <w:rsid w:val="00D869A1"/>
    <w:rsid w:val="00DA413F"/>
    <w:rsid w:val="00DA4584"/>
    <w:rsid w:val="00DA614B"/>
    <w:rsid w:val="00DC3060"/>
    <w:rsid w:val="00DC684E"/>
    <w:rsid w:val="00DD3F32"/>
    <w:rsid w:val="00DE0FB2"/>
    <w:rsid w:val="00DE26AF"/>
    <w:rsid w:val="00DE2C91"/>
    <w:rsid w:val="00DF093E"/>
    <w:rsid w:val="00E01F42"/>
    <w:rsid w:val="00E206D6"/>
    <w:rsid w:val="00E21C5B"/>
    <w:rsid w:val="00E3366E"/>
    <w:rsid w:val="00E52086"/>
    <w:rsid w:val="00E543A6"/>
    <w:rsid w:val="00E60479"/>
    <w:rsid w:val="00E61D73"/>
    <w:rsid w:val="00E73684"/>
    <w:rsid w:val="00E753DD"/>
    <w:rsid w:val="00E818D6"/>
    <w:rsid w:val="00E87F7A"/>
    <w:rsid w:val="00E93311"/>
    <w:rsid w:val="00E96BD7"/>
    <w:rsid w:val="00EA0DB1"/>
    <w:rsid w:val="00EA0EE9"/>
    <w:rsid w:val="00EA6B47"/>
    <w:rsid w:val="00EC5F83"/>
    <w:rsid w:val="00EC6AE2"/>
    <w:rsid w:val="00ED0938"/>
    <w:rsid w:val="00ED52CA"/>
    <w:rsid w:val="00ED5860"/>
    <w:rsid w:val="00EE35C9"/>
    <w:rsid w:val="00F05ECA"/>
    <w:rsid w:val="00F2588D"/>
    <w:rsid w:val="00F3566E"/>
    <w:rsid w:val="00F375FB"/>
    <w:rsid w:val="00F41AC1"/>
    <w:rsid w:val="00F4367A"/>
    <w:rsid w:val="00F445B1"/>
    <w:rsid w:val="00F45CD4"/>
    <w:rsid w:val="00F620F9"/>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nhideWhenUsed="0" w:qFormat="1"/>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418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984B-FB35-4D70-94EF-2AF832D9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A6FB31DF</Template>
  <TotalTime>47</TotalTime>
  <Pages>8</Pages>
  <Words>3034</Words>
  <Characters>16117</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emma.mace</dc:creator>
  <cp:lastModifiedBy>JMitchell</cp:lastModifiedBy>
  <cp:revision>6</cp:revision>
  <cp:lastPrinted>2019-05-23T14:16:00Z</cp:lastPrinted>
  <dcterms:created xsi:type="dcterms:W3CDTF">2019-05-23T13:57:00Z</dcterms:created>
  <dcterms:modified xsi:type="dcterms:W3CDTF">2019-05-23T15:14:00Z</dcterms:modified>
</cp:coreProperties>
</file>